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7216" w14:textId="77777777" w:rsidR="008A3055" w:rsidRPr="00C269C7" w:rsidRDefault="008A3055" w:rsidP="00C269C7">
      <w:pPr>
        <w:spacing w:after="0" w:line="480" w:lineRule="auto"/>
        <w:contextualSpacing/>
        <w:jc w:val="center"/>
        <w:rPr>
          <w:rFonts w:ascii="Times New Roman" w:eastAsia="Times New Roman" w:hAnsi="Times New Roman"/>
          <w:sz w:val="24"/>
          <w:szCs w:val="24"/>
        </w:rPr>
      </w:pPr>
    </w:p>
    <w:p w14:paraId="62F78E42" w14:textId="77777777" w:rsidR="008A3055" w:rsidRPr="00C269C7" w:rsidRDefault="008A3055" w:rsidP="00C269C7">
      <w:pPr>
        <w:spacing w:after="0" w:line="480" w:lineRule="auto"/>
        <w:contextualSpacing/>
        <w:jc w:val="center"/>
        <w:rPr>
          <w:rFonts w:ascii="Times New Roman" w:eastAsia="Times New Roman" w:hAnsi="Times New Roman"/>
          <w:sz w:val="24"/>
          <w:szCs w:val="24"/>
        </w:rPr>
      </w:pPr>
    </w:p>
    <w:p w14:paraId="4E1952C4" w14:textId="77777777" w:rsidR="008A3055" w:rsidRPr="00C269C7" w:rsidRDefault="008A3055" w:rsidP="00C269C7">
      <w:pPr>
        <w:spacing w:after="0" w:line="480" w:lineRule="auto"/>
        <w:contextualSpacing/>
        <w:jc w:val="center"/>
        <w:rPr>
          <w:rFonts w:ascii="Times New Roman" w:eastAsia="Times New Roman" w:hAnsi="Times New Roman"/>
          <w:sz w:val="24"/>
          <w:szCs w:val="24"/>
        </w:rPr>
      </w:pPr>
    </w:p>
    <w:p w14:paraId="3C890C69" w14:textId="77777777" w:rsidR="008A3055" w:rsidRPr="00C269C7" w:rsidRDefault="008A3055" w:rsidP="00C269C7">
      <w:pPr>
        <w:spacing w:after="0" w:line="480" w:lineRule="auto"/>
        <w:contextualSpacing/>
        <w:jc w:val="center"/>
        <w:rPr>
          <w:rFonts w:ascii="Times New Roman" w:eastAsia="Times New Roman" w:hAnsi="Times New Roman"/>
          <w:sz w:val="24"/>
          <w:szCs w:val="24"/>
        </w:rPr>
      </w:pPr>
    </w:p>
    <w:p w14:paraId="70ADDE80" w14:textId="77777777" w:rsidR="008A3055" w:rsidRPr="00C269C7" w:rsidRDefault="008A3055" w:rsidP="00C269C7">
      <w:pPr>
        <w:spacing w:after="0" w:line="480" w:lineRule="auto"/>
        <w:contextualSpacing/>
        <w:jc w:val="center"/>
        <w:rPr>
          <w:rFonts w:ascii="Times New Roman" w:eastAsia="Times New Roman" w:hAnsi="Times New Roman"/>
          <w:sz w:val="24"/>
          <w:szCs w:val="24"/>
        </w:rPr>
      </w:pPr>
    </w:p>
    <w:p w14:paraId="593DC3D8" w14:textId="77777777" w:rsidR="008A3055" w:rsidRPr="00C269C7" w:rsidRDefault="008A3055" w:rsidP="00C269C7">
      <w:pPr>
        <w:shd w:val="clear" w:color="auto" w:fill="FFFFFF"/>
        <w:spacing w:after="0" w:line="480" w:lineRule="auto"/>
        <w:contextualSpacing/>
        <w:textAlignment w:val="baseline"/>
        <w:outlineLvl w:val="3"/>
        <w:rPr>
          <w:rFonts w:ascii="Times New Roman" w:eastAsia="Times New Roman" w:hAnsi="Times New Roman"/>
          <w:bCs/>
          <w:sz w:val="24"/>
          <w:szCs w:val="24"/>
        </w:rPr>
      </w:pPr>
    </w:p>
    <w:p w14:paraId="5E9A2349" w14:textId="7BBBF33D" w:rsidR="00B10322" w:rsidRPr="00C269C7" w:rsidRDefault="00B10322" w:rsidP="00C269C7">
      <w:pPr>
        <w:shd w:val="clear" w:color="auto" w:fill="FFFFFF"/>
        <w:spacing w:after="0" w:line="480" w:lineRule="auto"/>
        <w:contextualSpacing/>
        <w:jc w:val="center"/>
        <w:textAlignment w:val="baseline"/>
        <w:outlineLvl w:val="3"/>
        <w:rPr>
          <w:rFonts w:ascii="Times New Roman" w:eastAsia="Times New Roman" w:hAnsi="Times New Roman"/>
          <w:bCs/>
          <w:sz w:val="24"/>
          <w:szCs w:val="24"/>
        </w:rPr>
      </w:pPr>
      <w:r w:rsidRPr="00C269C7">
        <w:rPr>
          <w:rFonts w:ascii="Times New Roman" w:eastAsia="Times New Roman" w:hAnsi="Times New Roman"/>
          <w:bCs/>
          <w:sz w:val="24"/>
          <w:szCs w:val="24"/>
        </w:rPr>
        <w:t>Right to Religious Freedom in a Democratic State</w:t>
      </w:r>
    </w:p>
    <w:p w14:paraId="57D8208B" w14:textId="77777777" w:rsidR="008A3055" w:rsidRPr="00C269C7" w:rsidRDefault="008A3055" w:rsidP="00C269C7">
      <w:pPr>
        <w:spacing w:after="0" w:line="480" w:lineRule="auto"/>
        <w:contextualSpacing/>
        <w:jc w:val="center"/>
        <w:rPr>
          <w:rFonts w:ascii="Times New Roman" w:eastAsia="Times New Roman" w:hAnsi="Times New Roman"/>
          <w:bCs/>
          <w:sz w:val="24"/>
          <w:szCs w:val="24"/>
        </w:rPr>
      </w:pPr>
    </w:p>
    <w:p w14:paraId="19655947" w14:textId="77777777" w:rsidR="008A3055" w:rsidRPr="00C269C7" w:rsidRDefault="008A3055" w:rsidP="00C269C7">
      <w:pPr>
        <w:spacing w:after="0" w:line="480" w:lineRule="auto"/>
        <w:contextualSpacing/>
        <w:jc w:val="center"/>
        <w:rPr>
          <w:rFonts w:ascii="Times New Roman" w:eastAsia="Times New Roman" w:hAnsi="Times New Roman"/>
          <w:sz w:val="24"/>
          <w:szCs w:val="24"/>
        </w:rPr>
      </w:pPr>
    </w:p>
    <w:p w14:paraId="601EB808" w14:textId="77777777" w:rsidR="008A3055" w:rsidRPr="00C269C7" w:rsidRDefault="008A3055" w:rsidP="00C269C7">
      <w:pPr>
        <w:spacing w:after="0" w:line="480" w:lineRule="auto"/>
        <w:contextualSpacing/>
        <w:jc w:val="center"/>
        <w:rPr>
          <w:rFonts w:ascii="Times New Roman" w:eastAsia="Times New Roman" w:hAnsi="Times New Roman"/>
          <w:sz w:val="24"/>
          <w:szCs w:val="24"/>
        </w:rPr>
      </w:pPr>
    </w:p>
    <w:p w14:paraId="1586F070" w14:textId="77777777" w:rsidR="008A3055" w:rsidRPr="00C269C7" w:rsidRDefault="001849D7" w:rsidP="00C269C7">
      <w:pPr>
        <w:spacing w:after="0" w:line="480" w:lineRule="auto"/>
        <w:contextualSpacing/>
        <w:jc w:val="center"/>
        <w:rPr>
          <w:rFonts w:ascii="Times New Roman" w:eastAsia="Times New Roman" w:hAnsi="Times New Roman"/>
          <w:sz w:val="24"/>
          <w:szCs w:val="24"/>
        </w:rPr>
      </w:pPr>
      <w:r w:rsidRPr="00C269C7">
        <w:rPr>
          <w:rFonts w:ascii="Times New Roman" w:eastAsia="Times New Roman" w:hAnsi="Times New Roman"/>
          <w:sz w:val="24"/>
          <w:szCs w:val="24"/>
        </w:rPr>
        <w:t>Student’s Name</w:t>
      </w:r>
    </w:p>
    <w:p w14:paraId="74C2B0E1" w14:textId="77777777" w:rsidR="008A3055" w:rsidRPr="00C269C7" w:rsidRDefault="001849D7" w:rsidP="00C269C7">
      <w:pPr>
        <w:spacing w:after="0" w:line="480" w:lineRule="auto"/>
        <w:contextualSpacing/>
        <w:jc w:val="center"/>
        <w:rPr>
          <w:rFonts w:ascii="Times New Roman" w:eastAsia="Times New Roman" w:hAnsi="Times New Roman"/>
          <w:sz w:val="24"/>
          <w:szCs w:val="24"/>
        </w:rPr>
      </w:pPr>
      <w:r w:rsidRPr="00C269C7">
        <w:rPr>
          <w:rFonts w:ascii="Times New Roman" w:eastAsia="Times New Roman" w:hAnsi="Times New Roman"/>
          <w:sz w:val="24"/>
          <w:szCs w:val="24"/>
        </w:rPr>
        <w:t>Course Details</w:t>
      </w:r>
    </w:p>
    <w:p w14:paraId="6C08B0C8" w14:textId="77777777" w:rsidR="008A3055" w:rsidRPr="00C269C7" w:rsidRDefault="001849D7" w:rsidP="00C269C7">
      <w:pPr>
        <w:spacing w:after="0" w:line="480" w:lineRule="auto"/>
        <w:contextualSpacing/>
        <w:jc w:val="center"/>
        <w:rPr>
          <w:rFonts w:ascii="Times New Roman" w:eastAsia="Times New Roman" w:hAnsi="Times New Roman"/>
          <w:sz w:val="24"/>
          <w:szCs w:val="24"/>
        </w:rPr>
      </w:pPr>
      <w:r w:rsidRPr="00C269C7">
        <w:rPr>
          <w:rFonts w:ascii="Times New Roman" w:eastAsia="Times New Roman" w:hAnsi="Times New Roman"/>
          <w:sz w:val="24"/>
          <w:szCs w:val="24"/>
        </w:rPr>
        <w:t>Date</w:t>
      </w:r>
    </w:p>
    <w:p w14:paraId="2472CB0A" w14:textId="77777777" w:rsidR="008A3055" w:rsidRPr="00C269C7" w:rsidRDefault="008A3055" w:rsidP="00C269C7">
      <w:pPr>
        <w:spacing w:after="0" w:line="480" w:lineRule="auto"/>
        <w:contextualSpacing/>
        <w:rPr>
          <w:rFonts w:ascii="Times New Roman" w:eastAsia="Times New Roman" w:hAnsi="Times New Roman"/>
          <w:sz w:val="24"/>
          <w:szCs w:val="24"/>
        </w:rPr>
      </w:pPr>
    </w:p>
    <w:p w14:paraId="62E40523" w14:textId="77777777" w:rsidR="008A3055" w:rsidRPr="00C269C7" w:rsidRDefault="008A3055" w:rsidP="00C269C7">
      <w:pPr>
        <w:spacing w:after="0" w:line="480" w:lineRule="auto"/>
        <w:contextualSpacing/>
        <w:rPr>
          <w:rFonts w:ascii="Times New Roman" w:eastAsia="Times New Roman" w:hAnsi="Times New Roman"/>
          <w:sz w:val="24"/>
          <w:szCs w:val="24"/>
        </w:rPr>
      </w:pPr>
    </w:p>
    <w:p w14:paraId="60A60CFE" w14:textId="77777777" w:rsidR="008A3055" w:rsidRPr="00C269C7" w:rsidRDefault="008A3055" w:rsidP="00C269C7">
      <w:pPr>
        <w:spacing w:after="0" w:line="480" w:lineRule="auto"/>
        <w:contextualSpacing/>
        <w:rPr>
          <w:rFonts w:ascii="Times New Roman" w:eastAsia="Times New Roman" w:hAnsi="Times New Roman"/>
          <w:sz w:val="24"/>
          <w:szCs w:val="24"/>
        </w:rPr>
      </w:pPr>
    </w:p>
    <w:p w14:paraId="5D4D6116" w14:textId="77777777" w:rsidR="008A3055" w:rsidRPr="00C269C7" w:rsidRDefault="008A3055" w:rsidP="00C269C7">
      <w:pPr>
        <w:spacing w:after="0" w:line="480" w:lineRule="auto"/>
        <w:contextualSpacing/>
        <w:rPr>
          <w:rFonts w:ascii="Times New Roman" w:eastAsia="Times New Roman" w:hAnsi="Times New Roman"/>
          <w:sz w:val="24"/>
          <w:szCs w:val="24"/>
        </w:rPr>
      </w:pPr>
    </w:p>
    <w:p w14:paraId="7C9269A5" w14:textId="77777777" w:rsidR="008A3055" w:rsidRPr="00C269C7" w:rsidRDefault="008A3055" w:rsidP="00C269C7">
      <w:pPr>
        <w:spacing w:after="0" w:line="480" w:lineRule="auto"/>
        <w:contextualSpacing/>
        <w:rPr>
          <w:rFonts w:ascii="Times New Roman" w:eastAsia="Times New Roman" w:hAnsi="Times New Roman"/>
          <w:sz w:val="24"/>
          <w:szCs w:val="24"/>
        </w:rPr>
      </w:pPr>
    </w:p>
    <w:p w14:paraId="17EBEB49" w14:textId="77777777" w:rsidR="008A3055" w:rsidRPr="00C269C7" w:rsidRDefault="008A3055" w:rsidP="00C269C7">
      <w:pPr>
        <w:shd w:val="clear" w:color="auto" w:fill="FFFFFF"/>
        <w:spacing w:after="0" w:line="480" w:lineRule="auto"/>
        <w:contextualSpacing/>
        <w:jc w:val="center"/>
        <w:textAlignment w:val="baseline"/>
        <w:outlineLvl w:val="3"/>
        <w:rPr>
          <w:rFonts w:ascii="Times New Roman" w:eastAsia="Times New Roman" w:hAnsi="Times New Roman"/>
          <w:bCs/>
          <w:sz w:val="24"/>
          <w:szCs w:val="24"/>
        </w:rPr>
      </w:pPr>
    </w:p>
    <w:p w14:paraId="50AE0B3D" w14:textId="77777777" w:rsidR="008A3055" w:rsidRPr="00C269C7" w:rsidRDefault="008A3055" w:rsidP="00C269C7">
      <w:pPr>
        <w:shd w:val="clear" w:color="auto" w:fill="FFFFFF"/>
        <w:spacing w:after="0" w:line="480" w:lineRule="auto"/>
        <w:contextualSpacing/>
        <w:jc w:val="center"/>
        <w:textAlignment w:val="baseline"/>
        <w:outlineLvl w:val="3"/>
        <w:rPr>
          <w:rFonts w:ascii="Times New Roman" w:eastAsia="Times New Roman" w:hAnsi="Times New Roman"/>
          <w:bCs/>
          <w:sz w:val="24"/>
          <w:szCs w:val="24"/>
        </w:rPr>
      </w:pPr>
    </w:p>
    <w:p w14:paraId="3FF1F415" w14:textId="77777777" w:rsidR="008A3055" w:rsidRPr="00C269C7" w:rsidRDefault="008A3055" w:rsidP="00C269C7">
      <w:pPr>
        <w:shd w:val="clear" w:color="auto" w:fill="FFFFFF"/>
        <w:spacing w:after="0" w:line="480" w:lineRule="auto"/>
        <w:contextualSpacing/>
        <w:jc w:val="center"/>
        <w:textAlignment w:val="baseline"/>
        <w:outlineLvl w:val="3"/>
        <w:rPr>
          <w:rFonts w:ascii="Times New Roman" w:eastAsia="Times New Roman" w:hAnsi="Times New Roman"/>
          <w:bCs/>
          <w:sz w:val="24"/>
          <w:szCs w:val="24"/>
        </w:rPr>
      </w:pPr>
    </w:p>
    <w:p w14:paraId="402DAA10" w14:textId="77777777" w:rsidR="008A3055" w:rsidRPr="00C269C7" w:rsidRDefault="008A3055" w:rsidP="00C269C7">
      <w:pPr>
        <w:shd w:val="clear" w:color="auto" w:fill="FFFFFF"/>
        <w:spacing w:after="0" w:line="480" w:lineRule="auto"/>
        <w:contextualSpacing/>
        <w:jc w:val="center"/>
        <w:textAlignment w:val="baseline"/>
        <w:outlineLvl w:val="3"/>
        <w:rPr>
          <w:rFonts w:ascii="Times New Roman" w:eastAsia="Times New Roman" w:hAnsi="Times New Roman"/>
          <w:bCs/>
          <w:sz w:val="24"/>
          <w:szCs w:val="24"/>
        </w:rPr>
      </w:pPr>
    </w:p>
    <w:p w14:paraId="32E1F8E3" w14:textId="77777777" w:rsidR="008A3055" w:rsidRPr="00C269C7" w:rsidRDefault="008A3055" w:rsidP="00C269C7">
      <w:pPr>
        <w:shd w:val="clear" w:color="auto" w:fill="FFFFFF"/>
        <w:spacing w:after="0" w:line="480" w:lineRule="auto"/>
        <w:contextualSpacing/>
        <w:jc w:val="center"/>
        <w:textAlignment w:val="baseline"/>
        <w:outlineLvl w:val="3"/>
        <w:rPr>
          <w:rFonts w:ascii="Times New Roman" w:eastAsia="Times New Roman" w:hAnsi="Times New Roman"/>
          <w:bCs/>
          <w:sz w:val="24"/>
          <w:szCs w:val="24"/>
        </w:rPr>
      </w:pPr>
    </w:p>
    <w:p w14:paraId="231D2B07" w14:textId="77777777" w:rsidR="00B10322" w:rsidRPr="00C269C7" w:rsidRDefault="00B10322" w:rsidP="00C269C7">
      <w:pPr>
        <w:shd w:val="clear" w:color="auto" w:fill="FFFFFF"/>
        <w:spacing w:after="0" w:line="480" w:lineRule="auto"/>
        <w:contextualSpacing/>
        <w:jc w:val="center"/>
        <w:textAlignment w:val="baseline"/>
        <w:outlineLvl w:val="3"/>
        <w:rPr>
          <w:rFonts w:ascii="Times New Roman" w:eastAsia="Times New Roman" w:hAnsi="Times New Roman"/>
          <w:b/>
          <w:bCs/>
          <w:sz w:val="24"/>
          <w:szCs w:val="24"/>
        </w:rPr>
      </w:pPr>
      <w:r w:rsidRPr="00C269C7">
        <w:rPr>
          <w:rFonts w:ascii="Times New Roman" w:eastAsia="Times New Roman" w:hAnsi="Times New Roman"/>
          <w:b/>
          <w:bCs/>
          <w:sz w:val="24"/>
          <w:szCs w:val="24"/>
        </w:rPr>
        <w:lastRenderedPageBreak/>
        <w:t>Right to Religious Freedom in a Democratic State</w:t>
      </w:r>
    </w:p>
    <w:p w14:paraId="01FA4662" w14:textId="135F2CDF" w:rsidR="00EB30F6" w:rsidRPr="00C269C7" w:rsidRDefault="00EB30F6" w:rsidP="00C269C7">
      <w:pPr>
        <w:shd w:val="clear" w:color="auto" w:fill="FFFFFF"/>
        <w:spacing w:after="0" w:line="480" w:lineRule="auto"/>
        <w:contextualSpacing/>
        <w:jc w:val="center"/>
        <w:textAlignment w:val="baseline"/>
        <w:outlineLvl w:val="3"/>
        <w:rPr>
          <w:rFonts w:ascii="Times New Roman" w:eastAsia="Times New Roman" w:hAnsi="Times New Roman"/>
          <w:bCs/>
          <w:sz w:val="24"/>
          <w:szCs w:val="24"/>
        </w:rPr>
      </w:pPr>
      <w:r w:rsidRPr="00C269C7">
        <w:rPr>
          <w:rFonts w:ascii="Times New Roman" w:eastAsia="Times New Roman" w:hAnsi="Times New Roman"/>
          <w:b/>
          <w:bCs/>
          <w:sz w:val="24"/>
          <w:szCs w:val="24"/>
        </w:rPr>
        <w:t>Introduction</w:t>
      </w:r>
    </w:p>
    <w:p w14:paraId="7EDA74F6" w14:textId="157A27FA" w:rsidR="0088068A" w:rsidRPr="00C269C7" w:rsidRDefault="00E16E2F" w:rsidP="00C269C7">
      <w:pPr>
        <w:pStyle w:val="NormalWeb"/>
        <w:spacing w:before="0" w:after="0" w:line="480" w:lineRule="auto"/>
        <w:ind w:firstLine="720"/>
        <w:contextualSpacing/>
        <w:rPr>
          <w:color w:val="0E101A"/>
          <w:lang w:eastAsia="en-US"/>
        </w:rPr>
      </w:pPr>
      <w:r w:rsidRPr="00C269C7">
        <w:t xml:space="preserve"> </w:t>
      </w:r>
      <w:r w:rsidR="00C0637F" w:rsidRPr="00C269C7">
        <w:rPr>
          <w:color w:val="0E101A"/>
          <w:lang w:eastAsia="en-US"/>
        </w:rPr>
        <w:t>Human rights or freedom consist of the rights that a group or an individual has to benefit our shared humanity. Besides, freedom of religion is the right to express or exercise individuals or a group's religious beliefs without hindrance or fear of reprisal in an open manner. The right or freedom to manifest the religious belief is through practicing, worshiping, or disseminating and teaching. In the courts of Canada, the international instruments and the Canadian laws are legally accepted in the bill of rights that are found in section 1(c) of the Canadian bill of rights, article 14 of the convention on the rights of the child, Article 3 of the American declaration of the rights and duties of man and the article 18 of the international covenant on civil and political rights. However, there are comparative, global, and regional instruments that do not bind with the laws of Canada even though the statutes go in hand with the exact provisions. The paper will describe the details of the right to religious freedom in a democratic state and its facts, including how the document represents human rights history in Canada, its representation, and the critical analysis or recommendations.</w:t>
      </w:r>
    </w:p>
    <w:p w14:paraId="747A7037" w14:textId="0A5C5154" w:rsidR="0088068A" w:rsidRPr="00C269C7" w:rsidRDefault="00C0637F" w:rsidP="00C269C7">
      <w:pPr>
        <w:spacing w:after="0" w:line="480" w:lineRule="auto"/>
        <w:ind w:firstLine="720"/>
        <w:contextualSpacing/>
        <w:jc w:val="center"/>
        <w:rPr>
          <w:rFonts w:ascii="Times New Roman" w:eastAsia="Times New Roman" w:hAnsi="Times New Roman"/>
          <w:b/>
          <w:bCs/>
          <w:color w:val="0E101A"/>
          <w:sz w:val="24"/>
          <w:szCs w:val="24"/>
          <w:lang w:eastAsia="en-US"/>
        </w:rPr>
      </w:pPr>
      <w:r w:rsidRPr="00C269C7">
        <w:rPr>
          <w:rFonts w:ascii="Times New Roman" w:eastAsia="Times New Roman" w:hAnsi="Times New Roman"/>
          <w:b/>
          <w:bCs/>
          <w:color w:val="0E101A"/>
          <w:sz w:val="24"/>
          <w:szCs w:val="24"/>
          <w:lang w:eastAsia="en-US"/>
        </w:rPr>
        <w:t>Description of the Rights to Religious Freedom in a Democratic State and its facts</w:t>
      </w:r>
    </w:p>
    <w:p w14:paraId="078EBB02" w14:textId="702E3318" w:rsidR="00C0637F"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The constitution in Canada guarantees or gives the rights and freedom of religion, belief, conscience, opinion, thought, the right to equal protection, expression, and the significance of law without discrimination based on faith and expression. Therefore, Canadians are always free while having their own opinions and beliefs. They are also accessible while refraining and practicing religion and coming up with media organizations without or with religious content. Moreover, the religious institutions in Canada benefit from the charitable organization status, thereby allowing the organization's supporters to acquire services from deductions or tax credits for their financial contributions. The charter’s preamble contains principles that recognize God's supremacy even though a specific preamble portion has not been legally rendered effectively in the charter jurisdiction. In section 2 of the Canadian constitution, the recognition of God in the body has been conflicted and criticized with a guarantee of the fundamental freedom of religion and conscience, therefore disadvantaging those who hold polytheistic and nontheistic beliefs with the inclusion of Buddhism and atheism</w:t>
      </w:r>
      <w:r w:rsidR="00890BD6" w:rsidRPr="00C269C7">
        <w:rPr>
          <w:rStyle w:val="FootnoteReference"/>
          <w:rFonts w:ascii="Times New Roman" w:eastAsia="Times New Roman" w:hAnsi="Times New Roman"/>
          <w:color w:val="0E101A"/>
          <w:sz w:val="24"/>
          <w:szCs w:val="24"/>
          <w:lang w:eastAsia="en-US"/>
        </w:rPr>
        <w:footnoteReference w:id="1"/>
      </w:r>
      <w:r w:rsidRPr="00C269C7">
        <w:rPr>
          <w:rFonts w:ascii="Times New Roman" w:eastAsia="Times New Roman" w:hAnsi="Times New Roman"/>
          <w:color w:val="0E101A"/>
          <w:sz w:val="24"/>
          <w:szCs w:val="24"/>
          <w:lang w:eastAsia="en-US"/>
        </w:rPr>
        <w:t>. The charter’s preamble identifies the rule of law, which is an essential principle that the law should use to govern a country, as opposed to being ruled through an individual’s government official’s decisions.</w:t>
      </w:r>
    </w:p>
    <w:p w14:paraId="09A8E4B7" w14:textId="77777777" w:rsidR="00C0637F"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As religious freedom is protected from the interferences of the state through the charter, the private individual’s actions are governed by the provincial human rights codes. The codes permit discrimination through accommodation, employment, and in the marketplace on the grounds of personal variety characteristics with the inclusion of religion. Still, in the Canadian Human Rights Act, the federal statute usually prohibits business and workplace discrimination under national jurisdiction, such as airlines and banks. Meaning, the Canadian Human Act allows religious discrimination.</w:t>
      </w:r>
    </w:p>
    <w:p w14:paraId="6406B920" w14:textId="0BF9C232" w:rsidR="00552A44" w:rsidRPr="00C269C7" w:rsidRDefault="00C0637F" w:rsidP="00C269C7">
      <w:pPr>
        <w:spacing w:after="0" w:line="480" w:lineRule="auto"/>
        <w:ind w:firstLine="720"/>
        <w:contextualSpacing/>
        <w:jc w:val="center"/>
        <w:rPr>
          <w:rFonts w:ascii="Times New Roman" w:eastAsia="Times New Roman" w:hAnsi="Times New Roman"/>
          <w:b/>
          <w:color w:val="0E101A"/>
          <w:sz w:val="24"/>
          <w:szCs w:val="24"/>
          <w:lang w:eastAsia="en-US"/>
        </w:rPr>
      </w:pPr>
      <w:r w:rsidRPr="00C269C7">
        <w:rPr>
          <w:rFonts w:ascii="Times New Roman" w:eastAsia="Times New Roman" w:hAnsi="Times New Roman"/>
          <w:b/>
          <w:color w:val="0E101A"/>
          <w:sz w:val="24"/>
          <w:szCs w:val="24"/>
          <w:lang w:eastAsia="en-US"/>
        </w:rPr>
        <w:t xml:space="preserve">Case </w:t>
      </w:r>
      <w:r w:rsidR="00552A44" w:rsidRPr="00C269C7">
        <w:rPr>
          <w:rFonts w:ascii="Times New Roman" w:eastAsia="Times New Roman" w:hAnsi="Times New Roman"/>
          <w:b/>
          <w:color w:val="0E101A"/>
          <w:sz w:val="24"/>
          <w:szCs w:val="24"/>
          <w:lang w:eastAsia="en-US"/>
        </w:rPr>
        <w:t>Law</w:t>
      </w:r>
    </w:p>
    <w:p w14:paraId="515BD802" w14:textId="37DB4AF5" w:rsidR="00C0637F"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 xml:space="preserve">At the time the court last resort for Canada within the British </w:t>
      </w:r>
      <w:r w:rsidR="00C269C7" w:rsidRPr="00C269C7">
        <w:rPr>
          <w:rFonts w:ascii="Times New Roman" w:eastAsia="Times New Roman" w:hAnsi="Times New Roman"/>
          <w:color w:val="0E101A"/>
          <w:sz w:val="24"/>
          <w:szCs w:val="24"/>
          <w:lang w:eastAsia="en-US"/>
        </w:rPr>
        <w:t>Empire</w:t>
      </w:r>
      <w:r w:rsidRPr="00C269C7">
        <w:rPr>
          <w:rFonts w:ascii="Times New Roman" w:eastAsia="Times New Roman" w:hAnsi="Times New Roman"/>
          <w:color w:val="0E101A"/>
          <w:sz w:val="24"/>
          <w:szCs w:val="24"/>
          <w:lang w:eastAsia="en-US"/>
        </w:rPr>
        <w:t xml:space="preserve"> in 1874, a guibord case that consisted of the judicial committee of the </w:t>
      </w:r>
      <w:r w:rsidR="00C269C7" w:rsidRPr="00C269C7">
        <w:rPr>
          <w:rFonts w:ascii="Times New Roman" w:eastAsia="Times New Roman" w:hAnsi="Times New Roman"/>
          <w:color w:val="0E101A"/>
          <w:sz w:val="24"/>
          <w:szCs w:val="24"/>
          <w:lang w:eastAsia="en-US"/>
        </w:rPr>
        <w:t>Privy Council</w:t>
      </w:r>
      <w:r w:rsidRPr="00C269C7">
        <w:rPr>
          <w:rFonts w:ascii="Times New Roman" w:eastAsia="Times New Roman" w:hAnsi="Times New Roman"/>
          <w:color w:val="0E101A"/>
          <w:sz w:val="24"/>
          <w:szCs w:val="24"/>
          <w:lang w:eastAsia="en-US"/>
        </w:rPr>
        <w:t xml:space="preserve"> went ahead and ruled that the Canadian civil court had the mandate to solve disputes that occurred between the church organization and the members of the church. The basis of the ruling required the church to be treated equally following the external and internal laws and rules</w:t>
      </w:r>
      <w:r w:rsidR="00890BD6" w:rsidRPr="00C269C7">
        <w:rPr>
          <w:rStyle w:val="FootnoteReference"/>
          <w:rFonts w:ascii="Times New Roman" w:eastAsia="Times New Roman" w:hAnsi="Times New Roman"/>
          <w:color w:val="0E101A"/>
          <w:sz w:val="24"/>
          <w:szCs w:val="24"/>
          <w:lang w:eastAsia="en-US"/>
        </w:rPr>
        <w:footnoteReference w:id="2"/>
      </w:r>
      <w:r w:rsidRPr="00C269C7">
        <w:rPr>
          <w:rFonts w:ascii="Times New Roman" w:eastAsia="Times New Roman" w:hAnsi="Times New Roman"/>
          <w:color w:val="0E101A"/>
          <w:sz w:val="24"/>
          <w:szCs w:val="24"/>
          <w:lang w:eastAsia="en-US"/>
        </w:rPr>
        <w:t xml:space="preserve">. Furthermore, the exact point in the Guibord case issue as well confirmed that the judicial committee ruled the </w:t>
      </w:r>
      <w:r w:rsidR="00C269C7" w:rsidRPr="00C269C7">
        <w:rPr>
          <w:rFonts w:ascii="Times New Roman" w:eastAsia="Times New Roman" w:hAnsi="Times New Roman"/>
          <w:color w:val="0E101A"/>
          <w:sz w:val="24"/>
          <w:szCs w:val="24"/>
          <w:lang w:eastAsia="en-US"/>
        </w:rPr>
        <w:t>Roman Catholic</w:t>
      </w:r>
      <w:r w:rsidRPr="00C269C7">
        <w:rPr>
          <w:rFonts w:ascii="Times New Roman" w:eastAsia="Times New Roman" w:hAnsi="Times New Roman"/>
          <w:color w:val="0E101A"/>
          <w:sz w:val="24"/>
          <w:szCs w:val="24"/>
          <w:lang w:eastAsia="en-US"/>
        </w:rPr>
        <w:t xml:space="preserve"> in Montreal did not refuse the burial of the deceased church member just because of his political views.</w:t>
      </w:r>
    </w:p>
    <w:p w14:paraId="4D824F07" w14:textId="0918DA4E" w:rsidR="0088068A" w:rsidRPr="00C269C7" w:rsidRDefault="00C0637F" w:rsidP="00C269C7">
      <w:pPr>
        <w:spacing w:after="0" w:line="480" w:lineRule="auto"/>
        <w:contextualSpacing/>
        <w:rPr>
          <w:rFonts w:ascii="Times New Roman" w:eastAsia="Times New Roman" w:hAnsi="Times New Roman"/>
          <w:b/>
          <w:color w:val="0E101A"/>
          <w:sz w:val="24"/>
          <w:szCs w:val="24"/>
          <w:lang w:eastAsia="en-US"/>
        </w:rPr>
      </w:pPr>
      <w:r w:rsidRPr="00C269C7">
        <w:rPr>
          <w:rFonts w:ascii="Times New Roman" w:eastAsia="Times New Roman" w:hAnsi="Times New Roman"/>
          <w:b/>
          <w:color w:val="0E101A"/>
          <w:sz w:val="24"/>
          <w:szCs w:val="24"/>
          <w:lang w:eastAsia="en-US"/>
        </w:rPr>
        <w:t xml:space="preserve">Reasonable </w:t>
      </w:r>
      <w:r w:rsidR="00C269C7" w:rsidRPr="00C269C7">
        <w:rPr>
          <w:rFonts w:ascii="Times New Roman" w:eastAsia="Times New Roman" w:hAnsi="Times New Roman"/>
          <w:b/>
          <w:color w:val="0E101A"/>
          <w:sz w:val="24"/>
          <w:szCs w:val="24"/>
          <w:lang w:eastAsia="en-US"/>
        </w:rPr>
        <w:t>Facts on the Accommodation on the Religious Grounds</w:t>
      </w:r>
    </w:p>
    <w:p w14:paraId="53FC0C81" w14:textId="72D76B4F" w:rsidR="005B7B10"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For the Canadian Human Rights Act to expand the protection scope, section 3 (1) forbids discrimination in the prohibited grounds through the actors that tend to fall under federal jurisdiction, for example, the federally regulated industries and televisions. Also, the provinces in Canada use their registered human rights that can be expiscated because they come from reasonable accommodation.</w:t>
      </w:r>
      <w:r w:rsidR="00926048" w:rsidRPr="00C269C7">
        <w:rPr>
          <w:rFonts w:ascii="Times New Roman" w:eastAsia="Times New Roman" w:hAnsi="Times New Roman"/>
          <w:color w:val="0E101A"/>
          <w:sz w:val="24"/>
          <w:szCs w:val="24"/>
          <w:lang w:eastAsia="en-US"/>
        </w:rPr>
        <w:t xml:space="preserve"> </w:t>
      </w:r>
      <w:r w:rsidR="00B91D67" w:rsidRPr="00C269C7">
        <w:rPr>
          <w:rFonts w:ascii="Times New Roman" w:eastAsia="Times New Roman" w:hAnsi="Times New Roman"/>
          <w:color w:val="0E101A"/>
          <w:sz w:val="24"/>
          <w:szCs w:val="24"/>
          <w:lang w:eastAsia="en-US"/>
        </w:rPr>
        <w:t>Furthermore</w:t>
      </w:r>
      <w:r w:rsidR="00926048" w:rsidRPr="00C269C7">
        <w:rPr>
          <w:rFonts w:ascii="Times New Roman" w:eastAsia="Times New Roman" w:hAnsi="Times New Roman"/>
          <w:color w:val="0E101A"/>
          <w:sz w:val="24"/>
          <w:szCs w:val="24"/>
          <w:lang w:eastAsia="en-US"/>
        </w:rPr>
        <w:t>,</w:t>
      </w:r>
      <w:r w:rsidRPr="00C269C7">
        <w:rPr>
          <w:rFonts w:ascii="Times New Roman" w:eastAsia="Times New Roman" w:hAnsi="Times New Roman"/>
          <w:color w:val="0E101A"/>
          <w:sz w:val="24"/>
          <w:szCs w:val="24"/>
          <w:lang w:eastAsia="en-US"/>
        </w:rPr>
        <w:t xml:space="preserve"> Section 9 (1) of the Human Rights codes defines discrimination as the failure to make accommodations that are reasonable for the unique needs of any group or individual if the special conditions are based upon prohibition grounds. Still, the provincial legislation calls for the actors below the jurisdiction, such as the landlords and the employee's service providers, to preserve, accommodate, respect a multicultural society</w:t>
      </w:r>
      <w:r w:rsidR="00890BD6" w:rsidRPr="00C269C7">
        <w:rPr>
          <w:rStyle w:val="FootnoteReference"/>
          <w:rFonts w:ascii="Times New Roman" w:eastAsia="Times New Roman" w:hAnsi="Times New Roman"/>
          <w:color w:val="0E101A"/>
          <w:sz w:val="24"/>
          <w:szCs w:val="24"/>
          <w:lang w:eastAsia="en-US"/>
        </w:rPr>
        <w:footnoteReference w:id="3"/>
      </w:r>
      <w:r w:rsidRPr="00C269C7">
        <w:rPr>
          <w:rFonts w:ascii="Times New Roman" w:eastAsia="Times New Roman" w:hAnsi="Times New Roman"/>
          <w:color w:val="0E101A"/>
          <w:sz w:val="24"/>
          <w:szCs w:val="24"/>
          <w:lang w:eastAsia="en-US"/>
        </w:rPr>
        <w:t>. The accommodation on the ground of religion confirms that cases that tend to fall in both federal and provincial human rights acts and the jurisdiction of the charter contests gender equality and the notion of social values.</w:t>
      </w:r>
    </w:p>
    <w:p w14:paraId="0FD7013F" w14:textId="77777777" w:rsidR="00C0637F"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 </w:t>
      </w:r>
      <w:r w:rsidRPr="00C269C7">
        <w:rPr>
          <w:rFonts w:ascii="Times New Roman" w:eastAsia="Times New Roman" w:hAnsi="Times New Roman"/>
          <w:b/>
          <w:bCs/>
          <w:color w:val="0E101A"/>
          <w:sz w:val="24"/>
          <w:szCs w:val="24"/>
          <w:lang w:eastAsia="en-US"/>
        </w:rPr>
        <w:t>How Right to Religious Freedom in a Democratic State Represent the Human Right History in Canada</w:t>
      </w:r>
    </w:p>
    <w:p w14:paraId="46578EB3" w14:textId="77D6AF30" w:rsidR="00C0637F" w:rsidRPr="00C269C7" w:rsidRDefault="00C0637F" w:rsidP="00C269C7">
      <w:pPr>
        <w:spacing w:after="0" w:line="480" w:lineRule="auto"/>
        <w:ind w:firstLine="720"/>
        <w:contextualSpacing/>
        <w:jc w:val="center"/>
        <w:rPr>
          <w:rFonts w:ascii="Times New Roman" w:eastAsia="Times New Roman" w:hAnsi="Times New Roman"/>
          <w:b/>
          <w:color w:val="0E101A"/>
          <w:sz w:val="24"/>
          <w:szCs w:val="24"/>
          <w:lang w:eastAsia="en-US"/>
        </w:rPr>
      </w:pPr>
      <w:r w:rsidRPr="00C269C7">
        <w:rPr>
          <w:rFonts w:ascii="Times New Roman" w:eastAsia="Times New Roman" w:hAnsi="Times New Roman"/>
          <w:b/>
          <w:color w:val="0E101A"/>
          <w:sz w:val="24"/>
          <w:szCs w:val="24"/>
          <w:lang w:eastAsia="en-US"/>
        </w:rPr>
        <w:t xml:space="preserve">Protecting </w:t>
      </w:r>
      <w:r w:rsidR="00552A44" w:rsidRPr="00C269C7">
        <w:rPr>
          <w:rFonts w:ascii="Times New Roman" w:eastAsia="Times New Roman" w:hAnsi="Times New Roman"/>
          <w:b/>
          <w:color w:val="0E101A"/>
          <w:sz w:val="24"/>
          <w:szCs w:val="24"/>
          <w:lang w:eastAsia="en-US"/>
        </w:rPr>
        <w:t>Religious Minorities</w:t>
      </w:r>
    </w:p>
    <w:p w14:paraId="020BC10C" w14:textId="77777777" w:rsidR="00552A44" w:rsidRPr="00C269C7" w:rsidRDefault="00552A44" w:rsidP="00C269C7">
      <w:pPr>
        <w:spacing w:after="0" w:line="480" w:lineRule="auto"/>
        <w:ind w:firstLine="720"/>
        <w:contextualSpacing/>
        <w:jc w:val="center"/>
        <w:rPr>
          <w:rFonts w:ascii="Times New Roman" w:eastAsia="Times New Roman" w:hAnsi="Times New Roman"/>
          <w:color w:val="0E101A"/>
          <w:sz w:val="24"/>
          <w:szCs w:val="24"/>
          <w:lang w:eastAsia="en-US"/>
        </w:rPr>
      </w:pPr>
    </w:p>
    <w:p w14:paraId="280A4770" w14:textId="5D6A13F8" w:rsidR="00C0637F"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In protecting religious minorities in Canada, the specific members of the community, such as the Sikh community, were foundational in the protection of religious freedom on accommodation. The case consisted of a boy</w:t>
      </w:r>
      <w:r w:rsidR="00926048" w:rsidRPr="00C269C7">
        <w:rPr>
          <w:rFonts w:ascii="Times New Roman" w:eastAsia="Times New Roman" w:hAnsi="Times New Roman"/>
          <w:color w:val="0E101A"/>
          <w:sz w:val="24"/>
          <w:szCs w:val="24"/>
          <w:lang w:eastAsia="en-US"/>
        </w:rPr>
        <w:t xml:space="preserve"> who was</w:t>
      </w:r>
      <w:r w:rsidRPr="00C269C7">
        <w:rPr>
          <w:rFonts w:ascii="Times New Roman" w:eastAsia="Times New Roman" w:hAnsi="Times New Roman"/>
          <w:color w:val="0E101A"/>
          <w:sz w:val="24"/>
          <w:szCs w:val="24"/>
          <w:lang w:eastAsia="en-US"/>
        </w:rPr>
        <w:t xml:space="preserve"> banned from carrying a kirpan weapon as perceived by the Commission Scolaire Marguerite-Bourgeoys. The kirpan was used as one of the five Sikh articles of faith and a symbol of religion. The case's decision affirmed that for religious freedom to succeed, an individual must show that a particular practice or a belief is connected to the religious sentiment. In this case, the supreme court of Canada affirmed that schools should be used to promote civic values and that children should be taught different civic values. Besides, it also confirmed that kirpan would be significant in teaching the students the importance of freedom of religion.</w:t>
      </w:r>
    </w:p>
    <w:p w14:paraId="6049F4B9" w14:textId="6A1DD4D0" w:rsidR="00552A44" w:rsidRPr="00C269C7" w:rsidRDefault="00C0637F" w:rsidP="00C269C7">
      <w:pPr>
        <w:spacing w:after="0" w:line="480" w:lineRule="auto"/>
        <w:ind w:firstLine="720"/>
        <w:contextualSpacing/>
        <w:jc w:val="center"/>
        <w:rPr>
          <w:rFonts w:ascii="Times New Roman" w:eastAsia="Times New Roman" w:hAnsi="Times New Roman"/>
          <w:b/>
          <w:color w:val="0E101A"/>
          <w:sz w:val="24"/>
          <w:szCs w:val="24"/>
          <w:lang w:eastAsia="en-US"/>
        </w:rPr>
      </w:pPr>
      <w:r w:rsidRPr="00C269C7">
        <w:rPr>
          <w:rFonts w:ascii="Times New Roman" w:eastAsia="Times New Roman" w:hAnsi="Times New Roman"/>
          <w:b/>
          <w:color w:val="0E101A"/>
          <w:sz w:val="24"/>
          <w:szCs w:val="24"/>
          <w:lang w:eastAsia="en-US"/>
        </w:rPr>
        <w:t xml:space="preserve">Enshrining </w:t>
      </w:r>
      <w:r w:rsidR="00552A44" w:rsidRPr="00C269C7">
        <w:rPr>
          <w:rFonts w:ascii="Times New Roman" w:eastAsia="Times New Roman" w:hAnsi="Times New Roman"/>
          <w:b/>
          <w:color w:val="0E101A"/>
          <w:sz w:val="24"/>
          <w:szCs w:val="24"/>
          <w:lang w:eastAsia="en-US"/>
        </w:rPr>
        <w:t>Rights a</w:t>
      </w:r>
      <w:r w:rsidR="00C269C7" w:rsidRPr="00C269C7">
        <w:rPr>
          <w:rFonts w:ascii="Times New Roman" w:eastAsia="Times New Roman" w:hAnsi="Times New Roman"/>
          <w:b/>
          <w:color w:val="0E101A"/>
          <w:sz w:val="24"/>
          <w:szCs w:val="24"/>
          <w:lang w:eastAsia="en-US"/>
        </w:rPr>
        <w:t>nd Freedoms</w:t>
      </w:r>
    </w:p>
    <w:p w14:paraId="75871F98" w14:textId="2D4C0E65" w:rsidR="00890BD6" w:rsidRPr="00C269C7" w:rsidRDefault="00C0637F" w:rsidP="00C269C7">
      <w:pPr>
        <w:spacing w:after="0" w:line="480" w:lineRule="auto"/>
        <w:ind w:firstLine="720"/>
        <w:contextualSpacing/>
        <w:rPr>
          <w:rFonts w:ascii="Times New Roman" w:eastAsia="Times New Roman" w:hAnsi="Times New Roman"/>
          <w:b/>
          <w:color w:val="0E101A"/>
          <w:sz w:val="24"/>
          <w:szCs w:val="24"/>
          <w:lang w:eastAsia="en-US"/>
        </w:rPr>
      </w:pPr>
      <w:r w:rsidRPr="00C269C7">
        <w:rPr>
          <w:rFonts w:ascii="Times New Roman" w:eastAsia="Times New Roman" w:hAnsi="Times New Roman"/>
          <w:color w:val="0E101A"/>
          <w:sz w:val="24"/>
          <w:szCs w:val="24"/>
          <w:lang w:eastAsia="en-US"/>
        </w:rPr>
        <w:t>Possibly, the most active part in the charter of rights and freedom is through enshrining rights and liberty, which was included during the amendment of the constitution in the Act of 1882. The release of religion and conscience is found in section 2 of the charter, which gives or affirms fundamental freedom. Absolute freedom does not necessitate the government grant. Instead, they inhere with the human beings. In continuation, section 15 of the Canadian constitution protects discrimination of individuals from a religious basis</w:t>
      </w:r>
      <w:r w:rsidR="00890BD6" w:rsidRPr="00C269C7">
        <w:rPr>
          <w:rStyle w:val="FootnoteReference"/>
          <w:rFonts w:ascii="Times New Roman" w:eastAsia="Times New Roman" w:hAnsi="Times New Roman"/>
          <w:color w:val="0E101A"/>
          <w:sz w:val="24"/>
          <w:szCs w:val="24"/>
          <w:lang w:eastAsia="en-US"/>
        </w:rPr>
        <w:footnoteReference w:id="4"/>
      </w:r>
      <w:r w:rsidRPr="00C269C7">
        <w:rPr>
          <w:rFonts w:ascii="Times New Roman" w:eastAsia="Times New Roman" w:hAnsi="Times New Roman"/>
          <w:color w:val="0E101A"/>
          <w:sz w:val="24"/>
          <w:szCs w:val="24"/>
          <w:lang w:eastAsia="en-US"/>
        </w:rPr>
        <w:t>. However, different from the bill of rights, which was used as a federal statute, the charter tends to apply in all actions and government legislation at each level. Many religious groups were highly active in the constitutional public debate resulting in the inclusion of a preamble that documented the supremacy of God.</w:t>
      </w:r>
    </w:p>
    <w:p w14:paraId="36E61D16" w14:textId="59D0F263" w:rsidR="00890BD6" w:rsidRPr="00C269C7" w:rsidRDefault="00C0637F" w:rsidP="00C269C7">
      <w:pPr>
        <w:spacing w:after="0" w:line="480" w:lineRule="auto"/>
        <w:contextualSpacing/>
        <w:rPr>
          <w:rFonts w:ascii="Times New Roman" w:eastAsia="Times New Roman" w:hAnsi="Times New Roman"/>
          <w:b/>
          <w:color w:val="0E101A"/>
          <w:sz w:val="24"/>
          <w:szCs w:val="24"/>
          <w:lang w:eastAsia="en-US"/>
        </w:rPr>
      </w:pPr>
      <w:r w:rsidRPr="00C269C7">
        <w:rPr>
          <w:rFonts w:ascii="Times New Roman" w:eastAsia="Times New Roman" w:hAnsi="Times New Roman"/>
          <w:b/>
          <w:color w:val="0E101A"/>
          <w:sz w:val="24"/>
          <w:szCs w:val="24"/>
          <w:lang w:eastAsia="en-US"/>
        </w:rPr>
        <w:t>Prohibiting Practice of the Indian Act and Establishment of Residential Schools</w:t>
      </w:r>
    </w:p>
    <w:p w14:paraId="7A465924" w14:textId="3FEF948F" w:rsidR="00552A44"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The amendment of the Indian act of 1885 criminalized the ritual dancing and gift-giving feast, which was more familiar with most of the Northwest coast first Nations or the potlatch as were both well-thought-out sacred practices by the first nations. Furthermore, at the time of repealing the ban in 1951, the pressure asserted by enforcement and criminalization resulted in changes in familiarity and attitudes, thereby disrupting the social relations and erosion of traditional practices. In 1888, the federal government provided support towards the residential church schools. Some of them were used in banning rituals and indigenous practices as one of the methods of assimilation</w:t>
      </w:r>
      <w:r w:rsidR="00890BD6" w:rsidRPr="00C269C7">
        <w:rPr>
          <w:rStyle w:val="FootnoteReference"/>
          <w:rFonts w:ascii="Times New Roman" w:eastAsia="Times New Roman" w:hAnsi="Times New Roman"/>
          <w:color w:val="0E101A"/>
          <w:sz w:val="24"/>
          <w:szCs w:val="24"/>
          <w:lang w:eastAsia="en-US"/>
        </w:rPr>
        <w:footnoteReference w:id="5"/>
      </w:r>
      <w:r w:rsidRPr="00C269C7">
        <w:rPr>
          <w:rFonts w:ascii="Times New Roman" w:eastAsia="Times New Roman" w:hAnsi="Times New Roman"/>
          <w:color w:val="0E101A"/>
          <w:sz w:val="24"/>
          <w:szCs w:val="24"/>
          <w:lang w:eastAsia="en-US"/>
        </w:rPr>
        <w:t>. Affirming freedom of religion in Canada is an essential aspect as it builds effects in addressing the residential school system, thereby resulting in positive efforts during the time reconciliation.</w:t>
      </w:r>
    </w:p>
    <w:p w14:paraId="2ED406D9" w14:textId="65230E8F" w:rsidR="00552A44" w:rsidRPr="00C269C7" w:rsidRDefault="00C0637F" w:rsidP="00C269C7">
      <w:pPr>
        <w:spacing w:after="0" w:line="480" w:lineRule="auto"/>
        <w:ind w:firstLine="720"/>
        <w:contextualSpacing/>
        <w:jc w:val="center"/>
        <w:rPr>
          <w:rFonts w:ascii="Times New Roman" w:eastAsia="Times New Roman" w:hAnsi="Times New Roman"/>
          <w:b/>
          <w:bCs/>
          <w:color w:val="0E101A"/>
          <w:sz w:val="24"/>
          <w:szCs w:val="24"/>
          <w:lang w:eastAsia="en-US"/>
        </w:rPr>
      </w:pPr>
      <w:r w:rsidRPr="00C269C7">
        <w:rPr>
          <w:rFonts w:ascii="Times New Roman" w:eastAsia="Times New Roman" w:hAnsi="Times New Roman"/>
          <w:b/>
          <w:bCs/>
          <w:color w:val="0E101A"/>
          <w:sz w:val="24"/>
          <w:szCs w:val="24"/>
          <w:lang w:eastAsia="en-US"/>
        </w:rPr>
        <w:t>Critical Analysis or recommendations on Right to Religious Freedom in A Democratic State in Canada</w:t>
      </w:r>
    </w:p>
    <w:p w14:paraId="646FB958" w14:textId="493A5057" w:rsidR="00C0637F"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Yes</w:t>
      </w:r>
      <w:r w:rsidRPr="00C269C7">
        <w:rPr>
          <w:rFonts w:ascii="Times New Roman" w:eastAsia="Times New Roman" w:hAnsi="Times New Roman"/>
          <w:b/>
          <w:bCs/>
          <w:color w:val="0E101A"/>
          <w:sz w:val="24"/>
          <w:szCs w:val="24"/>
          <w:lang w:eastAsia="en-US"/>
        </w:rPr>
        <w:t>, </w:t>
      </w:r>
      <w:r w:rsidRPr="00C269C7">
        <w:rPr>
          <w:rFonts w:ascii="Times New Roman" w:eastAsia="Times New Roman" w:hAnsi="Times New Roman"/>
          <w:color w:val="0E101A"/>
          <w:sz w:val="24"/>
          <w:szCs w:val="24"/>
          <w:lang w:eastAsia="en-US"/>
        </w:rPr>
        <w:t>I agree with the charter of rights. International laws give the difference</w:t>
      </w:r>
      <w:r w:rsidR="00B91D67" w:rsidRPr="00C269C7">
        <w:rPr>
          <w:rFonts w:ascii="Times New Roman" w:eastAsia="Times New Roman" w:hAnsi="Times New Roman"/>
          <w:color w:val="0E101A"/>
          <w:sz w:val="24"/>
          <w:szCs w:val="24"/>
          <w:lang w:eastAsia="en-US"/>
        </w:rPr>
        <w:t>s</w:t>
      </w:r>
      <w:r w:rsidRPr="00C269C7">
        <w:rPr>
          <w:rFonts w:ascii="Times New Roman" w:eastAsia="Times New Roman" w:hAnsi="Times New Roman"/>
          <w:color w:val="0E101A"/>
          <w:sz w:val="24"/>
          <w:szCs w:val="24"/>
          <w:lang w:eastAsia="en-US"/>
        </w:rPr>
        <w:t xml:space="preserve"> between conscience and belief from freedom or manifest religion on the strength and weakness</w:t>
      </w:r>
      <w:r w:rsidR="00B91D67" w:rsidRPr="00C269C7">
        <w:rPr>
          <w:rFonts w:ascii="Times New Roman" w:eastAsia="Times New Roman" w:hAnsi="Times New Roman"/>
          <w:color w:val="0E101A"/>
          <w:sz w:val="24"/>
          <w:szCs w:val="24"/>
          <w:lang w:eastAsia="en-US"/>
        </w:rPr>
        <w:t>es</w:t>
      </w:r>
      <w:r w:rsidRPr="00C269C7">
        <w:rPr>
          <w:rFonts w:ascii="Times New Roman" w:eastAsia="Times New Roman" w:hAnsi="Times New Roman"/>
          <w:color w:val="0E101A"/>
          <w:sz w:val="24"/>
          <w:szCs w:val="24"/>
          <w:lang w:eastAsia="en-US"/>
        </w:rPr>
        <w:t>. Article 18 of the ICCPR does not provide any form of permission to any limitation on the freedom of conscience and thought on the freedom to adopt or have a religion or a belief of one choice</w:t>
      </w:r>
      <w:r w:rsidR="00890BD6" w:rsidRPr="00C269C7">
        <w:rPr>
          <w:rStyle w:val="FootnoteReference"/>
          <w:rFonts w:ascii="Times New Roman" w:eastAsia="Times New Roman" w:hAnsi="Times New Roman"/>
          <w:color w:val="0E101A"/>
          <w:sz w:val="24"/>
          <w:szCs w:val="24"/>
          <w:lang w:eastAsia="en-US"/>
        </w:rPr>
        <w:footnoteReference w:id="6"/>
      </w:r>
      <w:r w:rsidRPr="00C269C7">
        <w:rPr>
          <w:rFonts w:ascii="Times New Roman" w:eastAsia="Times New Roman" w:hAnsi="Times New Roman"/>
          <w:color w:val="0E101A"/>
          <w:sz w:val="24"/>
          <w:szCs w:val="24"/>
          <w:lang w:eastAsia="en-US"/>
        </w:rPr>
        <w:t>.</w:t>
      </w:r>
      <w:r w:rsidR="00890BD6" w:rsidRPr="00C269C7">
        <w:rPr>
          <w:rFonts w:ascii="Times New Roman" w:eastAsia="Times New Roman" w:hAnsi="Times New Roman"/>
          <w:color w:val="0E101A"/>
          <w:sz w:val="24"/>
          <w:szCs w:val="24"/>
          <w:lang w:eastAsia="en-US"/>
        </w:rPr>
        <w:t xml:space="preserve"> </w:t>
      </w:r>
      <w:r w:rsidRPr="00C269C7">
        <w:rPr>
          <w:rFonts w:ascii="Times New Roman" w:eastAsia="Times New Roman" w:hAnsi="Times New Roman"/>
          <w:color w:val="0E101A"/>
          <w:sz w:val="24"/>
          <w:szCs w:val="24"/>
          <w:lang w:eastAsia="en-US"/>
        </w:rPr>
        <w:t xml:space="preserve">Besides, under art 18.3, belief or restrictions on the freedom in manifesting faith are only permitted if limitations agreed by the rule of law are significant in protecting the public order, safety, morals or health, and freedom of others or the fundamental rights. Still, the liberty to believe in worship, manifest religion, teaching, and practices encompasses a wide range of acts. The Australian freedom and rights have identified that liberty and the rule of law </w:t>
      </w:r>
      <w:r w:rsidR="00B91D67" w:rsidRPr="00C269C7">
        <w:rPr>
          <w:rFonts w:ascii="Times New Roman" w:eastAsia="Times New Roman" w:hAnsi="Times New Roman"/>
          <w:color w:val="0E101A"/>
          <w:sz w:val="24"/>
          <w:szCs w:val="24"/>
          <w:lang w:eastAsia="en-US"/>
        </w:rPr>
        <w:t xml:space="preserve">which </w:t>
      </w:r>
      <w:r w:rsidRPr="00C269C7">
        <w:rPr>
          <w:rFonts w:ascii="Times New Roman" w:eastAsia="Times New Roman" w:hAnsi="Times New Roman"/>
          <w:color w:val="0E101A"/>
          <w:sz w:val="24"/>
          <w:szCs w:val="24"/>
          <w:lang w:eastAsia="en-US"/>
        </w:rPr>
        <w:t>appear</w:t>
      </w:r>
      <w:r w:rsidR="00B91D67" w:rsidRPr="00C269C7">
        <w:rPr>
          <w:rFonts w:ascii="Times New Roman" w:eastAsia="Times New Roman" w:hAnsi="Times New Roman"/>
          <w:color w:val="0E101A"/>
          <w:sz w:val="24"/>
          <w:szCs w:val="24"/>
          <w:lang w:eastAsia="en-US"/>
        </w:rPr>
        <w:t>s</w:t>
      </w:r>
      <w:r w:rsidRPr="00C269C7">
        <w:rPr>
          <w:rFonts w:ascii="Times New Roman" w:eastAsia="Times New Roman" w:hAnsi="Times New Roman"/>
          <w:color w:val="0E101A"/>
          <w:sz w:val="24"/>
          <w:szCs w:val="24"/>
          <w:lang w:eastAsia="en-US"/>
        </w:rPr>
        <w:t xml:space="preserve"> to be the broadest category</w:t>
      </w:r>
      <w:r w:rsidR="00890BD6" w:rsidRPr="00C269C7">
        <w:rPr>
          <w:rStyle w:val="FootnoteReference"/>
          <w:rFonts w:ascii="Times New Roman" w:eastAsia="Times New Roman" w:hAnsi="Times New Roman"/>
          <w:color w:val="0E101A"/>
          <w:sz w:val="24"/>
          <w:szCs w:val="24"/>
          <w:lang w:eastAsia="en-US"/>
        </w:rPr>
        <w:footnoteReference w:id="7"/>
      </w:r>
      <w:r w:rsidRPr="00C269C7">
        <w:rPr>
          <w:rFonts w:ascii="Times New Roman" w:eastAsia="Times New Roman" w:hAnsi="Times New Roman"/>
          <w:color w:val="0E101A"/>
          <w:sz w:val="24"/>
          <w:szCs w:val="24"/>
          <w:lang w:eastAsia="en-US"/>
        </w:rPr>
        <w:t>. Even though the art in article 18 does not provide any form of guidance on the connectivity required in between a belief and an act for it to be constituted and manifested through practice. Also, in section 18.3, the Human Rights Committee stated that the limitations usually based on other grounds, such as national security, are not given permission.</w:t>
      </w:r>
    </w:p>
    <w:p w14:paraId="2830D6FC" w14:textId="0CF27146" w:rsidR="00D91733"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Yes, I would insist on life-saving treatment as most adults have refused to make changes to the life-saving treatment. For instance, different laws interfere with the freedom of religion, such as laws interfering directly with other legal rights and freedom and protecting people from discrimination in public life. For example, the cases where courts allow blood transfusion for a minor and guardians or parents have refused on the grounds of religion</w:t>
      </w:r>
      <w:r w:rsidR="003A7BAF" w:rsidRPr="00C269C7">
        <w:rPr>
          <w:rStyle w:val="FootnoteReference"/>
          <w:rFonts w:ascii="Times New Roman" w:eastAsia="Times New Roman" w:hAnsi="Times New Roman"/>
          <w:color w:val="0E101A"/>
          <w:sz w:val="24"/>
          <w:szCs w:val="24"/>
          <w:lang w:eastAsia="en-US"/>
        </w:rPr>
        <w:footnoteReference w:id="8"/>
      </w:r>
      <w:r w:rsidRPr="00C269C7">
        <w:rPr>
          <w:rFonts w:ascii="Times New Roman" w:eastAsia="Times New Roman" w:hAnsi="Times New Roman"/>
          <w:color w:val="0E101A"/>
          <w:sz w:val="24"/>
          <w:szCs w:val="24"/>
          <w:lang w:eastAsia="en-US"/>
        </w:rPr>
        <w:t>.</w:t>
      </w:r>
    </w:p>
    <w:p w14:paraId="018712D2" w14:textId="4BF03E6E" w:rsidR="00D91733" w:rsidRPr="00C269C7" w:rsidRDefault="00D91733" w:rsidP="00C269C7">
      <w:pPr>
        <w:spacing w:after="0" w:line="480" w:lineRule="auto"/>
        <w:ind w:firstLine="720"/>
        <w:contextualSpacing/>
        <w:jc w:val="center"/>
        <w:rPr>
          <w:rFonts w:ascii="Times New Roman" w:eastAsia="Times New Roman" w:hAnsi="Times New Roman"/>
          <w:b/>
          <w:color w:val="0E101A"/>
          <w:sz w:val="24"/>
          <w:szCs w:val="24"/>
          <w:lang w:eastAsia="en-US"/>
        </w:rPr>
      </w:pPr>
      <w:r w:rsidRPr="00C269C7">
        <w:rPr>
          <w:rFonts w:ascii="Times New Roman" w:eastAsia="Times New Roman" w:hAnsi="Times New Roman"/>
          <w:b/>
          <w:color w:val="0E101A"/>
          <w:sz w:val="24"/>
          <w:szCs w:val="24"/>
          <w:lang w:eastAsia="en-US"/>
        </w:rPr>
        <w:t>Conclusion</w:t>
      </w:r>
    </w:p>
    <w:p w14:paraId="143C5F38" w14:textId="36AD7F19" w:rsidR="00DB60C8" w:rsidRPr="00C269C7" w:rsidRDefault="00C0637F" w:rsidP="00C269C7">
      <w:pPr>
        <w:spacing w:after="0" w:line="480" w:lineRule="auto"/>
        <w:ind w:firstLine="720"/>
        <w:contextualSpacing/>
        <w:rPr>
          <w:rFonts w:ascii="Times New Roman" w:eastAsia="Times New Roman" w:hAnsi="Times New Roman"/>
          <w:color w:val="0E101A"/>
          <w:sz w:val="24"/>
          <w:szCs w:val="24"/>
          <w:lang w:eastAsia="en-US"/>
        </w:rPr>
      </w:pPr>
      <w:r w:rsidRPr="00C269C7">
        <w:rPr>
          <w:rFonts w:ascii="Times New Roman" w:eastAsia="Times New Roman" w:hAnsi="Times New Roman"/>
          <w:color w:val="0E101A"/>
          <w:sz w:val="24"/>
          <w:szCs w:val="24"/>
          <w:lang w:eastAsia="en-US"/>
        </w:rPr>
        <w:t>In conclusion, freedom of religion should be given a priority at the time of balancing. With other interests or rights as the right to freedom of religion warns the religious freedom and associated rights at high risk of being undermined in Canadian society due to lack of focus or</w:t>
      </w:r>
      <w:r w:rsidR="00B91D67" w:rsidRPr="00C269C7">
        <w:rPr>
          <w:rFonts w:ascii="Times New Roman" w:eastAsia="Times New Roman" w:hAnsi="Times New Roman"/>
          <w:color w:val="0E101A"/>
          <w:sz w:val="24"/>
          <w:szCs w:val="24"/>
          <w:lang w:eastAsia="en-US"/>
        </w:rPr>
        <w:t xml:space="preserve"> any</w:t>
      </w:r>
      <w:r w:rsidRPr="00C269C7">
        <w:rPr>
          <w:rFonts w:ascii="Times New Roman" w:eastAsia="Times New Roman" w:hAnsi="Times New Roman"/>
          <w:color w:val="0E101A"/>
          <w:sz w:val="24"/>
          <w:szCs w:val="24"/>
          <w:lang w:eastAsia="en-US"/>
        </w:rPr>
        <w:t xml:space="preserve"> other competing rights. However, interest and requests should be carefully balanced without endangering the fundamental freedoms to non- discrimination. There</w:t>
      </w:r>
      <w:r w:rsidR="00B91D67" w:rsidRPr="00C269C7">
        <w:rPr>
          <w:rFonts w:ascii="Times New Roman" w:eastAsia="Times New Roman" w:hAnsi="Times New Roman"/>
          <w:color w:val="0E101A"/>
          <w:sz w:val="24"/>
          <w:szCs w:val="24"/>
          <w:lang w:eastAsia="en-US"/>
        </w:rPr>
        <w:t>fore, there</w:t>
      </w:r>
      <w:r w:rsidRPr="00C269C7">
        <w:rPr>
          <w:rFonts w:ascii="Times New Roman" w:eastAsia="Times New Roman" w:hAnsi="Times New Roman"/>
          <w:color w:val="0E101A"/>
          <w:sz w:val="24"/>
          <w:szCs w:val="24"/>
          <w:lang w:eastAsia="en-US"/>
        </w:rPr>
        <w:t xml:space="preserve"> should be respect for the diversity of religion. </w:t>
      </w:r>
      <w:r w:rsidR="00B91D67" w:rsidRPr="00C269C7">
        <w:rPr>
          <w:rFonts w:ascii="Times New Roman" w:eastAsia="Times New Roman" w:hAnsi="Times New Roman"/>
          <w:color w:val="0E101A"/>
          <w:sz w:val="24"/>
          <w:szCs w:val="24"/>
          <w:lang w:eastAsia="en-US"/>
        </w:rPr>
        <w:t>In connection to that, t</w:t>
      </w:r>
      <w:r w:rsidRPr="00C269C7">
        <w:rPr>
          <w:rFonts w:ascii="Times New Roman" w:eastAsia="Times New Roman" w:hAnsi="Times New Roman"/>
          <w:color w:val="0E101A"/>
          <w:sz w:val="24"/>
          <w:szCs w:val="24"/>
          <w:lang w:eastAsia="en-US"/>
        </w:rPr>
        <w:t xml:space="preserve">here should be no </w:t>
      </w:r>
      <w:r w:rsidR="00B91D67" w:rsidRPr="00C269C7">
        <w:rPr>
          <w:rFonts w:ascii="Times New Roman" w:eastAsia="Times New Roman" w:hAnsi="Times New Roman"/>
          <w:color w:val="0E101A"/>
          <w:sz w:val="24"/>
          <w:szCs w:val="24"/>
          <w:lang w:eastAsia="en-US"/>
        </w:rPr>
        <w:t xml:space="preserve">any </w:t>
      </w:r>
      <w:r w:rsidRPr="00C269C7">
        <w:rPr>
          <w:rFonts w:ascii="Times New Roman" w:eastAsia="Times New Roman" w:hAnsi="Times New Roman"/>
          <w:color w:val="0E101A"/>
          <w:sz w:val="24"/>
          <w:szCs w:val="24"/>
          <w:lang w:eastAsia="en-US"/>
        </w:rPr>
        <w:t xml:space="preserve">form of coercion for an individual or a group to violate one’s faith, thereby cementing the principle of holding religious beliefs that need to be accommodated at the time of undue hardships. Still, all human beings, including physicians, should not be forced to act in any form violating their religious beliefs or conscience. Instead, everyone should be in the first place in advocating for the freedom of religion and conscience </w:t>
      </w:r>
      <w:r w:rsidR="00B91D67" w:rsidRPr="00C269C7">
        <w:rPr>
          <w:rFonts w:ascii="Times New Roman" w:eastAsia="Times New Roman" w:hAnsi="Times New Roman"/>
          <w:color w:val="0E101A"/>
          <w:sz w:val="24"/>
          <w:szCs w:val="24"/>
          <w:lang w:eastAsia="en-US"/>
        </w:rPr>
        <w:t xml:space="preserve">which </w:t>
      </w:r>
      <w:r w:rsidRPr="00C269C7">
        <w:rPr>
          <w:rFonts w:ascii="Times New Roman" w:eastAsia="Times New Roman" w:hAnsi="Times New Roman"/>
          <w:color w:val="0E101A"/>
          <w:sz w:val="24"/>
          <w:szCs w:val="24"/>
          <w:lang w:eastAsia="en-US"/>
        </w:rPr>
        <w:t>call</w:t>
      </w:r>
      <w:r w:rsidR="00B91D67" w:rsidRPr="00C269C7">
        <w:rPr>
          <w:rFonts w:ascii="Times New Roman" w:eastAsia="Times New Roman" w:hAnsi="Times New Roman"/>
          <w:color w:val="0E101A"/>
          <w:sz w:val="24"/>
          <w:szCs w:val="24"/>
          <w:lang w:eastAsia="en-US"/>
        </w:rPr>
        <w:t>s</w:t>
      </w:r>
      <w:r w:rsidRPr="00C269C7">
        <w:rPr>
          <w:rFonts w:ascii="Times New Roman" w:eastAsia="Times New Roman" w:hAnsi="Times New Roman"/>
          <w:color w:val="0E101A"/>
          <w:sz w:val="24"/>
          <w:szCs w:val="24"/>
          <w:lang w:eastAsia="en-US"/>
        </w:rPr>
        <w:t xml:space="preserve"> for the reasonable accommodations that will give room for conscientious objections. As well, a secular state should not interfere with the practices or beliefs of a particular religious group not unless they harm or conflict with the overriding public interests. The law should not also allow people or force people to take a step of privatizing their faith </w:t>
      </w:r>
      <w:r w:rsidR="00B91D67" w:rsidRPr="00C269C7">
        <w:rPr>
          <w:rFonts w:ascii="Times New Roman" w:eastAsia="Times New Roman" w:hAnsi="Times New Roman"/>
          <w:color w:val="0E101A"/>
          <w:sz w:val="24"/>
          <w:szCs w:val="24"/>
          <w:lang w:eastAsia="en-US"/>
        </w:rPr>
        <w:t>as</w:t>
      </w:r>
      <w:r w:rsidRPr="00C269C7">
        <w:rPr>
          <w:rFonts w:ascii="Times New Roman" w:eastAsia="Times New Roman" w:hAnsi="Times New Roman"/>
          <w:color w:val="0E101A"/>
          <w:sz w:val="24"/>
          <w:szCs w:val="24"/>
          <w:lang w:eastAsia="en-US"/>
        </w:rPr>
        <w:t xml:space="preserve"> the believers tend to advance secularism</w:t>
      </w:r>
      <w:r w:rsidR="00B91D67" w:rsidRPr="00C269C7">
        <w:rPr>
          <w:rFonts w:ascii="Times New Roman" w:eastAsia="Times New Roman" w:hAnsi="Times New Roman"/>
          <w:color w:val="0E101A"/>
          <w:sz w:val="24"/>
          <w:szCs w:val="24"/>
          <w:lang w:eastAsia="en-US"/>
        </w:rPr>
        <w:t>.</w:t>
      </w:r>
      <w:r w:rsidRPr="00C269C7">
        <w:rPr>
          <w:rFonts w:ascii="Times New Roman" w:eastAsia="Times New Roman" w:hAnsi="Times New Roman"/>
          <w:color w:val="0E101A"/>
          <w:sz w:val="24"/>
          <w:szCs w:val="24"/>
          <w:lang w:eastAsia="en-US"/>
        </w:rPr>
        <w:t xml:space="preserve"> </w:t>
      </w:r>
      <w:r w:rsidR="00B91D67" w:rsidRPr="00C269C7">
        <w:rPr>
          <w:rFonts w:ascii="Times New Roman" w:eastAsia="Times New Roman" w:hAnsi="Times New Roman"/>
          <w:color w:val="0E101A"/>
          <w:sz w:val="24"/>
          <w:szCs w:val="24"/>
          <w:lang w:eastAsia="en-US"/>
        </w:rPr>
        <w:t>T</w:t>
      </w:r>
      <w:r w:rsidRPr="00C269C7">
        <w:rPr>
          <w:rFonts w:ascii="Times New Roman" w:eastAsia="Times New Roman" w:hAnsi="Times New Roman"/>
          <w:color w:val="0E101A"/>
          <w:sz w:val="24"/>
          <w:szCs w:val="24"/>
          <w:lang w:eastAsia="en-US"/>
        </w:rPr>
        <w:t>he system of belief tends to undermine a genuine diversity</w:t>
      </w:r>
      <w:r w:rsidR="004B3441" w:rsidRPr="00C269C7">
        <w:rPr>
          <w:rFonts w:ascii="Times New Roman" w:eastAsia="Times New Roman" w:hAnsi="Times New Roman"/>
          <w:color w:val="0E101A"/>
          <w:sz w:val="24"/>
          <w:szCs w:val="24"/>
          <w:lang w:eastAsia="en-US"/>
        </w:rPr>
        <w:t xml:space="preserve">. </w:t>
      </w:r>
      <w:r w:rsidR="0094137C" w:rsidRPr="00C269C7">
        <w:rPr>
          <w:rFonts w:ascii="Times New Roman" w:eastAsia="Times New Roman" w:hAnsi="Times New Roman"/>
          <w:color w:val="0E101A"/>
          <w:sz w:val="24"/>
          <w:szCs w:val="24"/>
          <w:lang w:eastAsia="en-US"/>
        </w:rPr>
        <w:t>When fundamental freedom is being upheld, it will be significant in ensuring that all other citizens fully participate in the public life of our country. They will do it after being guided and informed by using their deeply held beliefs.</w:t>
      </w:r>
      <w:r w:rsidR="00DB60C8" w:rsidRPr="00C269C7">
        <w:rPr>
          <w:rFonts w:ascii="Times New Roman" w:eastAsia="Times New Roman" w:hAnsi="Times New Roman"/>
          <w:color w:val="0E101A"/>
          <w:sz w:val="24"/>
          <w:szCs w:val="24"/>
          <w:lang w:eastAsia="en-US"/>
        </w:rPr>
        <w:t xml:space="preserve"> As well, we should all understand that religion is not unlimited, instead, </w:t>
      </w:r>
      <w:r w:rsidR="00552A44" w:rsidRPr="00C269C7">
        <w:rPr>
          <w:rFonts w:ascii="Times New Roman" w:eastAsia="Times New Roman" w:hAnsi="Times New Roman"/>
          <w:color w:val="0E101A"/>
          <w:sz w:val="24"/>
          <w:szCs w:val="24"/>
          <w:lang w:eastAsia="en-US"/>
        </w:rPr>
        <w:t>it</w:t>
      </w:r>
      <w:r w:rsidR="00DB60C8" w:rsidRPr="00C269C7">
        <w:rPr>
          <w:rFonts w:ascii="Times New Roman" w:eastAsia="Times New Roman" w:hAnsi="Times New Roman"/>
          <w:color w:val="0E101A"/>
          <w:sz w:val="24"/>
          <w:szCs w:val="24"/>
          <w:lang w:eastAsia="en-US"/>
        </w:rPr>
        <w:t xml:space="preserve"> is only restricted through other people rights in holding and manifesting opinions and beliefs of their own and also being free from in the exercise of freedom of religion of others</w:t>
      </w:r>
      <w:r w:rsidR="0088068A" w:rsidRPr="00C269C7">
        <w:rPr>
          <w:rFonts w:ascii="Times New Roman" w:eastAsia="Times New Roman" w:hAnsi="Times New Roman"/>
          <w:color w:val="0E101A"/>
          <w:sz w:val="24"/>
          <w:szCs w:val="24"/>
          <w:lang w:eastAsia="en-US"/>
        </w:rPr>
        <w:t>.</w:t>
      </w:r>
    </w:p>
    <w:p w14:paraId="06FFCFFC" w14:textId="77777777" w:rsidR="0088068A" w:rsidRPr="00C269C7" w:rsidRDefault="0088068A" w:rsidP="00C269C7">
      <w:pPr>
        <w:spacing w:after="0" w:line="480" w:lineRule="auto"/>
        <w:ind w:firstLine="720"/>
        <w:contextualSpacing/>
        <w:rPr>
          <w:rFonts w:ascii="Times New Roman" w:eastAsia="Times New Roman" w:hAnsi="Times New Roman"/>
          <w:color w:val="0E101A"/>
          <w:sz w:val="24"/>
          <w:szCs w:val="24"/>
          <w:lang w:eastAsia="en-US"/>
        </w:rPr>
      </w:pPr>
    </w:p>
    <w:p w14:paraId="4723A98E" w14:textId="77777777" w:rsidR="0088068A" w:rsidRPr="00C269C7" w:rsidRDefault="0088068A" w:rsidP="00C269C7">
      <w:pPr>
        <w:spacing w:after="0" w:line="480" w:lineRule="auto"/>
        <w:ind w:firstLine="720"/>
        <w:contextualSpacing/>
        <w:rPr>
          <w:rFonts w:ascii="Times New Roman" w:eastAsia="Times New Roman" w:hAnsi="Times New Roman"/>
          <w:color w:val="0E101A"/>
          <w:sz w:val="24"/>
          <w:szCs w:val="24"/>
          <w:lang w:eastAsia="en-US"/>
        </w:rPr>
      </w:pPr>
    </w:p>
    <w:p w14:paraId="4FC8B744" w14:textId="77777777" w:rsidR="0088068A" w:rsidRPr="00C269C7" w:rsidRDefault="0088068A" w:rsidP="00C269C7">
      <w:pPr>
        <w:spacing w:after="0" w:line="480" w:lineRule="auto"/>
        <w:ind w:firstLine="720"/>
        <w:contextualSpacing/>
        <w:rPr>
          <w:rFonts w:ascii="Times New Roman" w:eastAsia="Times New Roman" w:hAnsi="Times New Roman"/>
          <w:color w:val="0E101A"/>
          <w:sz w:val="24"/>
          <w:szCs w:val="24"/>
          <w:lang w:eastAsia="en-US"/>
        </w:rPr>
      </w:pPr>
    </w:p>
    <w:p w14:paraId="3B10B2C5" w14:textId="77777777" w:rsidR="0088068A" w:rsidRPr="00C269C7" w:rsidRDefault="0088068A" w:rsidP="00C269C7">
      <w:pPr>
        <w:spacing w:after="0" w:line="480" w:lineRule="auto"/>
        <w:ind w:firstLine="720"/>
        <w:contextualSpacing/>
        <w:rPr>
          <w:rFonts w:ascii="Times New Roman" w:eastAsia="Times New Roman" w:hAnsi="Times New Roman"/>
          <w:color w:val="0E101A"/>
          <w:sz w:val="24"/>
          <w:szCs w:val="24"/>
          <w:lang w:eastAsia="en-US"/>
        </w:rPr>
      </w:pPr>
    </w:p>
    <w:p w14:paraId="470F1635" w14:textId="77777777" w:rsidR="0088068A" w:rsidRPr="00C269C7" w:rsidRDefault="0088068A" w:rsidP="00C269C7">
      <w:pPr>
        <w:spacing w:after="0" w:line="480" w:lineRule="auto"/>
        <w:ind w:firstLine="720"/>
        <w:contextualSpacing/>
        <w:rPr>
          <w:rFonts w:ascii="Times New Roman" w:eastAsia="Times New Roman" w:hAnsi="Times New Roman"/>
          <w:color w:val="0E101A"/>
          <w:sz w:val="24"/>
          <w:szCs w:val="24"/>
          <w:lang w:eastAsia="en-US"/>
        </w:rPr>
      </w:pPr>
    </w:p>
    <w:p w14:paraId="074A2C70" w14:textId="7F89E28C" w:rsidR="003A7BAF" w:rsidRPr="00C269C7" w:rsidRDefault="0088068A" w:rsidP="00C269C7">
      <w:pPr>
        <w:spacing w:after="0" w:line="480" w:lineRule="auto"/>
        <w:contextualSpacing/>
        <w:jc w:val="center"/>
        <w:rPr>
          <w:rFonts w:ascii="Times New Roman" w:eastAsia="Times New Roman" w:hAnsi="Times New Roman"/>
          <w:b/>
          <w:color w:val="0E101A"/>
          <w:sz w:val="24"/>
          <w:szCs w:val="24"/>
          <w:lang w:eastAsia="en-US"/>
        </w:rPr>
      </w:pPr>
      <w:r w:rsidRPr="00C269C7">
        <w:rPr>
          <w:rFonts w:ascii="Times New Roman" w:eastAsia="Times New Roman" w:hAnsi="Times New Roman"/>
          <w:b/>
          <w:color w:val="0E101A"/>
          <w:sz w:val="24"/>
          <w:szCs w:val="24"/>
          <w:lang w:eastAsia="en-US"/>
        </w:rPr>
        <w:t>References</w:t>
      </w:r>
    </w:p>
    <w:p w14:paraId="78D8B264" w14:textId="0CB6A626" w:rsidR="00771EDB" w:rsidRPr="00C269C7" w:rsidRDefault="00771EDB" w:rsidP="00C269C7">
      <w:pPr>
        <w:spacing w:after="0" w:line="480" w:lineRule="auto"/>
        <w:ind w:left="720" w:hanging="720"/>
        <w:contextualSpacing/>
        <w:rPr>
          <w:rFonts w:ascii="Times New Roman" w:hAnsi="Times New Roman"/>
          <w:color w:val="222222"/>
          <w:sz w:val="24"/>
          <w:szCs w:val="24"/>
          <w:shd w:val="clear" w:color="auto" w:fill="FFFFFF"/>
        </w:rPr>
      </w:pPr>
      <w:r w:rsidRPr="00C269C7">
        <w:rPr>
          <w:rFonts w:ascii="Times New Roman" w:hAnsi="Times New Roman"/>
          <w:color w:val="222222"/>
          <w:sz w:val="24"/>
          <w:szCs w:val="24"/>
          <w:shd w:val="clear" w:color="auto" w:fill="FFFFFF"/>
        </w:rPr>
        <w:t>Coley, Jonathan S. "Mobilizing for Religious Freedom: Educational Opportunity Structures and Outcomes of Conservative Christian Campus Activism." In </w:t>
      </w:r>
      <w:r w:rsidRPr="00C269C7">
        <w:rPr>
          <w:rFonts w:ascii="Times New Roman" w:hAnsi="Times New Roman"/>
          <w:i/>
          <w:iCs/>
          <w:color w:val="222222"/>
          <w:sz w:val="24"/>
          <w:szCs w:val="24"/>
          <w:shd w:val="clear" w:color="auto" w:fill="FFFFFF"/>
        </w:rPr>
        <w:t>Power and Protest</w:t>
      </w:r>
      <w:r w:rsidRPr="00C269C7">
        <w:rPr>
          <w:rFonts w:ascii="Times New Roman" w:hAnsi="Times New Roman"/>
          <w:color w:val="222222"/>
          <w:sz w:val="24"/>
          <w:szCs w:val="24"/>
          <w:shd w:val="clear" w:color="auto" w:fill="FFFFFF"/>
        </w:rPr>
        <w:t>. Emerald Publishing Limited, 2021.</w:t>
      </w:r>
    </w:p>
    <w:p w14:paraId="5610CA82" w14:textId="11348E18" w:rsidR="00771EDB" w:rsidRPr="00C269C7" w:rsidRDefault="00771EDB" w:rsidP="00C269C7">
      <w:pPr>
        <w:spacing w:after="0" w:line="480" w:lineRule="auto"/>
        <w:ind w:left="720" w:hanging="720"/>
        <w:contextualSpacing/>
        <w:rPr>
          <w:rFonts w:ascii="Times New Roman" w:hAnsi="Times New Roman"/>
          <w:color w:val="222222"/>
          <w:sz w:val="24"/>
          <w:szCs w:val="24"/>
          <w:shd w:val="clear" w:color="auto" w:fill="FFFFFF"/>
        </w:rPr>
      </w:pPr>
      <w:r w:rsidRPr="00C269C7">
        <w:rPr>
          <w:rFonts w:ascii="Times New Roman" w:hAnsi="Times New Roman"/>
          <w:color w:val="222222"/>
          <w:sz w:val="24"/>
          <w:szCs w:val="24"/>
          <w:shd w:val="clear" w:color="auto" w:fill="FFFFFF"/>
        </w:rPr>
        <w:t>Kilkelly, Ursula. "The child’s right to religious freedom in international law: The search for meaning." In </w:t>
      </w:r>
      <w:r w:rsidRPr="00C269C7">
        <w:rPr>
          <w:rFonts w:ascii="Times New Roman" w:hAnsi="Times New Roman"/>
          <w:i/>
          <w:iCs/>
          <w:color w:val="222222"/>
          <w:sz w:val="24"/>
          <w:szCs w:val="24"/>
          <w:shd w:val="clear" w:color="auto" w:fill="FFFFFF"/>
        </w:rPr>
        <w:t>Family Rights and Religion</w:t>
      </w:r>
      <w:r w:rsidRPr="00C269C7">
        <w:rPr>
          <w:rFonts w:ascii="Times New Roman" w:hAnsi="Times New Roman"/>
          <w:color w:val="222222"/>
          <w:sz w:val="24"/>
          <w:szCs w:val="24"/>
          <w:shd w:val="clear" w:color="auto" w:fill="FFFFFF"/>
        </w:rPr>
        <w:t>, pp. 123-148. Routledge, 2020.</w:t>
      </w:r>
    </w:p>
    <w:p w14:paraId="435D05DE" w14:textId="75DE708A" w:rsidR="0088068A" w:rsidRPr="00C269C7" w:rsidRDefault="0088068A" w:rsidP="00C269C7">
      <w:pPr>
        <w:spacing w:after="0" w:line="480" w:lineRule="auto"/>
        <w:ind w:left="720" w:hanging="720"/>
        <w:contextualSpacing/>
        <w:rPr>
          <w:rFonts w:ascii="Times New Roman" w:hAnsi="Times New Roman"/>
          <w:color w:val="222222"/>
          <w:sz w:val="24"/>
          <w:szCs w:val="24"/>
          <w:shd w:val="clear" w:color="auto" w:fill="FFFFFF"/>
        </w:rPr>
      </w:pPr>
      <w:r w:rsidRPr="00C269C7">
        <w:rPr>
          <w:rFonts w:ascii="Times New Roman" w:hAnsi="Times New Roman"/>
          <w:color w:val="222222"/>
          <w:sz w:val="24"/>
          <w:szCs w:val="24"/>
          <w:shd w:val="clear" w:color="auto" w:fill="FFFFFF"/>
        </w:rPr>
        <w:t>Morieson, Nicholas. </w:t>
      </w:r>
      <w:r w:rsidRPr="00C269C7">
        <w:rPr>
          <w:rFonts w:ascii="Times New Roman" w:hAnsi="Times New Roman"/>
          <w:i/>
          <w:iCs/>
          <w:color w:val="222222"/>
          <w:sz w:val="24"/>
          <w:szCs w:val="24"/>
          <w:shd w:val="clear" w:color="auto" w:fill="FFFFFF"/>
        </w:rPr>
        <w:t>Religion and the Populist Radical Right: Secular Christianism and Populism in Western Europe</w:t>
      </w:r>
      <w:r w:rsidRPr="00C269C7">
        <w:rPr>
          <w:rFonts w:ascii="Times New Roman" w:hAnsi="Times New Roman"/>
          <w:color w:val="222222"/>
          <w:sz w:val="24"/>
          <w:szCs w:val="24"/>
          <w:shd w:val="clear" w:color="auto" w:fill="FFFFFF"/>
        </w:rPr>
        <w:t>. Vernon Press, 2021.</w:t>
      </w:r>
    </w:p>
    <w:p w14:paraId="7190453B" w14:textId="5C23B5BA" w:rsidR="00771EDB" w:rsidRPr="00C269C7" w:rsidRDefault="00771EDB" w:rsidP="00C269C7">
      <w:pPr>
        <w:spacing w:after="0" w:line="480" w:lineRule="auto"/>
        <w:ind w:left="720" w:hanging="720"/>
        <w:contextualSpacing/>
        <w:rPr>
          <w:rFonts w:ascii="Times New Roman" w:hAnsi="Times New Roman"/>
          <w:color w:val="222222"/>
          <w:sz w:val="24"/>
          <w:szCs w:val="24"/>
          <w:shd w:val="clear" w:color="auto" w:fill="FFFFFF"/>
        </w:rPr>
      </w:pPr>
      <w:r w:rsidRPr="00C269C7">
        <w:rPr>
          <w:rFonts w:ascii="Times New Roman" w:hAnsi="Times New Roman"/>
          <w:color w:val="222222"/>
          <w:sz w:val="24"/>
          <w:szCs w:val="24"/>
          <w:shd w:val="clear" w:color="auto" w:fill="FFFFFF"/>
        </w:rPr>
        <w:t>Mehfooz, Musferah. "Religious Freedom in Pakistan: A Case Study of Religious Minorities." </w:t>
      </w:r>
      <w:r w:rsidRPr="00C269C7">
        <w:rPr>
          <w:rFonts w:ascii="Times New Roman" w:hAnsi="Times New Roman"/>
          <w:i/>
          <w:iCs/>
          <w:color w:val="222222"/>
          <w:sz w:val="24"/>
          <w:szCs w:val="24"/>
          <w:shd w:val="clear" w:color="auto" w:fill="FFFFFF"/>
        </w:rPr>
        <w:t>Religions</w:t>
      </w:r>
      <w:r w:rsidRPr="00C269C7">
        <w:rPr>
          <w:rFonts w:ascii="Times New Roman" w:hAnsi="Times New Roman"/>
          <w:color w:val="222222"/>
          <w:sz w:val="24"/>
          <w:szCs w:val="24"/>
          <w:shd w:val="clear" w:color="auto" w:fill="FFFFFF"/>
        </w:rPr>
        <w:t> 12, no. 1 (2021): 51.</w:t>
      </w:r>
    </w:p>
    <w:p w14:paraId="5637BC69" w14:textId="77777777" w:rsidR="00771EDB" w:rsidRPr="00C269C7" w:rsidRDefault="00771EDB" w:rsidP="00C269C7">
      <w:pPr>
        <w:spacing w:after="0" w:line="480" w:lineRule="auto"/>
        <w:ind w:left="720" w:hanging="720"/>
        <w:contextualSpacing/>
        <w:rPr>
          <w:rFonts w:ascii="Times New Roman" w:eastAsia="Times New Roman" w:hAnsi="Times New Roman"/>
          <w:color w:val="0E101A"/>
          <w:sz w:val="24"/>
          <w:szCs w:val="24"/>
          <w:lang w:eastAsia="en-US"/>
        </w:rPr>
      </w:pPr>
      <w:r w:rsidRPr="00C269C7">
        <w:rPr>
          <w:rFonts w:ascii="Times New Roman" w:hAnsi="Times New Roman"/>
          <w:color w:val="222222"/>
          <w:sz w:val="24"/>
          <w:szCs w:val="24"/>
          <w:shd w:val="clear" w:color="auto" w:fill="FFFFFF"/>
        </w:rPr>
        <w:t>Ogurlu, Uzeyir, and Koksal Avincan. "Right to Education: Challenges and Issues Under the Justice and Development Party Era." In </w:t>
      </w:r>
      <w:r w:rsidRPr="00C269C7">
        <w:rPr>
          <w:rFonts w:ascii="Times New Roman" w:hAnsi="Times New Roman"/>
          <w:i/>
          <w:iCs/>
          <w:color w:val="222222"/>
          <w:sz w:val="24"/>
          <w:szCs w:val="24"/>
          <w:shd w:val="clear" w:color="auto" w:fill="FFFFFF"/>
        </w:rPr>
        <w:t>Human Rights in Turkey</w:t>
      </w:r>
      <w:r w:rsidRPr="00C269C7">
        <w:rPr>
          <w:rFonts w:ascii="Times New Roman" w:hAnsi="Times New Roman"/>
          <w:color w:val="222222"/>
          <w:sz w:val="24"/>
          <w:szCs w:val="24"/>
          <w:shd w:val="clear" w:color="auto" w:fill="FFFFFF"/>
        </w:rPr>
        <w:t>, pp. 319-337. Springer, Cham, 2021.</w:t>
      </w:r>
    </w:p>
    <w:p w14:paraId="74CF5366" w14:textId="025A28F0" w:rsidR="0088068A" w:rsidRPr="00C269C7" w:rsidRDefault="0088068A" w:rsidP="00C269C7">
      <w:pPr>
        <w:spacing w:after="0" w:line="480" w:lineRule="auto"/>
        <w:ind w:left="720" w:hanging="720"/>
        <w:contextualSpacing/>
        <w:rPr>
          <w:rFonts w:ascii="Times New Roman" w:hAnsi="Times New Roman"/>
          <w:color w:val="222222"/>
          <w:sz w:val="24"/>
          <w:szCs w:val="24"/>
          <w:shd w:val="clear" w:color="auto" w:fill="FFFFFF"/>
        </w:rPr>
      </w:pPr>
      <w:r w:rsidRPr="00C269C7">
        <w:rPr>
          <w:rFonts w:ascii="Times New Roman" w:hAnsi="Times New Roman"/>
          <w:color w:val="222222"/>
          <w:sz w:val="24"/>
          <w:szCs w:val="24"/>
          <w:shd w:val="clear" w:color="auto" w:fill="FFFFFF"/>
        </w:rPr>
        <w:t>Wilfred, Felix. "Religious Freedom: Beyond the Liberal Paradigm." In </w:t>
      </w:r>
      <w:r w:rsidRPr="00C269C7">
        <w:rPr>
          <w:rFonts w:ascii="Times New Roman" w:hAnsi="Times New Roman"/>
          <w:i/>
          <w:iCs/>
          <w:color w:val="222222"/>
          <w:sz w:val="24"/>
          <w:szCs w:val="24"/>
          <w:shd w:val="clear" w:color="auto" w:fill="FFFFFF"/>
        </w:rPr>
        <w:t>Religious Identities and the Global South</w:t>
      </w:r>
      <w:r w:rsidRPr="00C269C7">
        <w:rPr>
          <w:rFonts w:ascii="Times New Roman" w:hAnsi="Times New Roman"/>
          <w:color w:val="222222"/>
          <w:sz w:val="24"/>
          <w:szCs w:val="24"/>
          <w:shd w:val="clear" w:color="auto" w:fill="FFFFFF"/>
        </w:rPr>
        <w:t>, pp. 197-221. Palgrave Macmillan, Cham, 2021.</w:t>
      </w:r>
    </w:p>
    <w:p w14:paraId="50B4DAEB" w14:textId="77777777" w:rsidR="00771EDB" w:rsidRPr="00C269C7" w:rsidRDefault="00771EDB" w:rsidP="00C269C7">
      <w:pPr>
        <w:spacing w:after="0" w:line="480" w:lineRule="auto"/>
        <w:ind w:left="720" w:hanging="720"/>
        <w:contextualSpacing/>
        <w:rPr>
          <w:rFonts w:ascii="Times New Roman" w:hAnsi="Times New Roman"/>
          <w:color w:val="222222"/>
          <w:sz w:val="24"/>
          <w:szCs w:val="24"/>
          <w:shd w:val="clear" w:color="auto" w:fill="FFFFFF"/>
        </w:rPr>
      </w:pPr>
      <w:r w:rsidRPr="00C269C7">
        <w:rPr>
          <w:rFonts w:ascii="Times New Roman" w:hAnsi="Times New Roman"/>
          <w:color w:val="222222"/>
          <w:sz w:val="24"/>
          <w:szCs w:val="24"/>
          <w:shd w:val="clear" w:color="auto" w:fill="FFFFFF"/>
        </w:rPr>
        <w:t>Wong, Mathew YH, Ying-ho Kwong, and Venisa Yeuk Wah Chau. "Democracy, constitutional framework, and human rights: A comparison of Monaco, Tonga, Hong Kong, and Singapore." </w:t>
      </w:r>
      <w:r w:rsidRPr="00C269C7">
        <w:rPr>
          <w:rFonts w:ascii="Times New Roman" w:hAnsi="Times New Roman"/>
          <w:i/>
          <w:iCs/>
          <w:color w:val="222222"/>
          <w:sz w:val="24"/>
          <w:szCs w:val="24"/>
          <w:shd w:val="clear" w:color="auto" w:fill="FFFFFF"/>
        </w:rPr>
        <w:t>International Journal of Law, Crime and Justice</w:t>
      </w:r>
      <w:r w:rsidRPr="00C269C7">
        <w:rPr>
          <w:rFonts w:ascii="Times New Roman" w:hAnsi="Times New Roman"/>
          <w:color w:val="222222"/>
          <w:sz w:val="24"/>
          <w:szCs w:val="24"/>
          <w:shd w:val="clear" w:color="auto" w:fill="FFFFFF"/>
        </w:rPr>
        <w:t> 64 (2021): 100438.</w:t>
      </w:r>
    </w:p>
    <w:p w14:paraId="7404C801" w14:textId="54AF995D" w:rsidR="00D62723" w:rsidRPr="00C269C7" w:rsidRDefault="00771EDB" w:rsidP="00C269C7">
      <w:pPr>
        <w:spacing w:after="0" w:line="480" w:lineRule="auto"/>
        <w:ind w:left="720" w:hanging="720"/>
        <w:contextualSpacing/>
        <w:rPr>
          <w:rFonts w:ascii="Times New Roman" w:hAnsi="Times New Roman"/>
          <w:sz w:val="24"/>
          <w:szCs w:val="24"/>
        </w:rPr>
      </w:pPr>
      <w:r w:rsidRPr="00C269C7">
        <w:rPr>
          <w:rFonts w:ascii="Times New Roman" w:hAnsi="Times New Roman"/>
          <w:color w:val="222222"/>
          <w:sz w:val="24"/>
          <w:szCs w:val="24"/>
          <w:shd w:val="clear" w:color="auto" w:fill="FFFFFF"/>
        </w:rPr>
        <w:t>Yilmaz, Ihsan, Nicholas Morieson, and Mustafa Demir. "Exploring</w:t>
      </w:r>
      <w:bookmarkStart w:id="0" w:name="_GoBack"/>
      <w:bookmarkEnd w:id="0"/>
      <w:r w:rsidRPr="00C269C7">
        <w:rPr>
          <w:rFonts w:ascii="Times New Roman" w:hAnsi="Times New Roman"/>
          <w:color w:val="222222"/>
          <w:sz w:val="24"/>
          <w:szCs w:val="24"/>
          <w:shd w:val="clear" w:color="auto" w:fill="FFFFFF"/>
        </w:rPr>
        <w:t xml:space="preserve"> Religions in Relation to Populism: A Tour around the World." </w:t>
      </w:r>
      <w:r w:rsidRPr="00C269C7">
        <w:rPr>
          <w:rFonts w:ascii="Times New Roman" w:hAnsi="Times New Roman"/>
          <w:i/>
          <w:iCs/>
          <w:color w:val="222222"/>
          <w:sz w:val="24"/>
          <w:szCs w:val="24"/>
          <w:shd w:val="clear" w:color="auto" w:fill="FFFFFF"/>
        </w:rPr>
        <w:t>Religions</w:t>
      </w:r>
      <w:r w:rsidRPr="00C269C7">
        <w:rPr>
          <w:rFonts w:ascii="Times New Roman" w:hAnsi="Times New Roman"/>
          <w:color w:val="222222"/>
          <w:sz w:val="24"/>
          <w:szCs w:val="24"/>
          <w:shd w:val="clear" w:color="auto" w:fill="FFFFFF"/>
        </w:rPr>
        <w:t> 12, no. 5 (2021): 301.</w:t>
      </w:r>
    </w:p>
    <w:p w14:paraId="62CD2E8A" w14:textId="776C9788" w:rsidR="00AF1715" w:rsidRPr="00C269C7" w:rsidRDefault="00AF1715" w:rsidP="00C269C7">
      <w:pPr>
        <w:spacing w:after="0" w:line="480" w:lineRule="auto"/>
        <w:ind w:firstLine="720"/>
        <w:contextualSpacing/>
        <w:rPr>
          <w:rFonts w:ascii="Times New Roman" w:hAnsi="Times New Roman"/>
          <w:sz w:val="24"/>
          <w:szCs w:val="24"/>
        </w:rPr>
      </w:pPr>
    </w:p>
    <w:sectPr w:rsidR="00AF1715" w:rsidRPr="00C269C7" w:rsidSect="00171CBA">
      <w:headerReference w:type="default" r:id="rId9"/>
      <w:headerReference w:type="first" r:id="rId10"/>
      <w:pgSz w:w="12240" w:h="15840"/>
      <w:pgMar w:top="1440" w:right="1440" w:bottom="1440" w:left="1440" w:header="720" w:footer="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6615F" w14:textId="77777777" w:rsidR="008F2128" w:rsidRDefault="008F2128">
      <w:pPr>
        <w:spacing w:after="0" w:line="240" w:lineRule="auto"/>
      </w:pPr>
      <w:r>
        <w:separator/>
      </w:r>
    </w:p>
  </w:endnote>
  <w:endnote w:type="continuationSeparator" w:id="0">
    <w:p w14:paraId="072E2472" w14:textId="77777777" w:rsidR="008F2128" w:rsidRDefault="008F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75609" w14:textId="77777777" w:rsidR="008F2128" w:rsidRDefault="008F2128">
      <w:r>
        <w:separator/>
      </w:r>
    </w:p>
  </w:footnote>
  <w:footnote w:type="continuationSeparator" w:id="0">
    <w:p w14:paraId="4382067F" w14:textId="77777777" w:rsidR="008F2128" w:rsidRDefault="008F2128">
      <w:r>
        <w:continuationSeparator/>
      </w:r>
    </w:p>
  </w:footnote>
  <w:footnote w:id="1">
    <w:p w14:paraId="31795269" w14:textId="77777777" w:rsidR="00890BD6" w:rsidRPr="00771EDB" w:rsidRDefault="00890BD6" w:rsidP="00C269C7">
      <w:pPr>
        <w:spacing w:after="0" w:line="240" w:lineRule="auto"/>
        <w:ind w:left="720" w:hanging="720"/>
        <w:contextualSpacing/>
        <w:rPr>
          <w:rFonts w:ascii="Times New Roman" w:hAnsi="Times New Roman"/>
          <w:color w:val="222222"/>
          <w:sz w:val="24"/>
          <w:szCs w:val="24"/>
          <w:shd w:val="clear" w:color="auto" w:fill="FFFFFF"/>
        </w:rPr>
      </w:pPr>
      <w:r>
        <w:rPr>
          <w:rStyle w:val="FootnoteReference"/>
        </w:rPr>
        <w:footnoteRef/>
      </w:r>
      <w:r>
        <w:t xml:space="preserve"> </w:t>
      </w:r>
      <w:r w:rsidRPr="00771EDB">
        <w:rPr>
          <w:rFonts w:ascii="Times New Roman" w:hAnsi="Times New Roman"/>
          <w:color w:val="222222"/>
          <w:sz w:val="24"/>
          <w:szCs w:val="24"/>
          <w:shd w:val="clear" w:color="auto" w:fill="FFFFFF"/>
        </w:rPr>
        <w:t>Coley, Jonathan S. "Mobilizing for Religious Freedom: Educational Opportunity Structures and Outcomes of Conservative Christian Campus Activism." In </w:t>
      </w:r>
      <w:r w:rsidRPr="00771EDB">
        <w:rPr>
          <w:rFonts w:ascii="Times New Roman" w:hAnsi="Times New Roman"/>
          <w:i/>
          <w:iCs/>
          <w:color w:val="222222"/>
          <w:sz w:val="24"/>
          <w:szCs w:val="24"/>
          <w:shd w:val="clear" w:color="auto" w:fill="FFFFFF"/>
        </w:rPr>
        <w:t>Power and Protest</w:t>
      </w:r>
      <w:r w:rsidRPr="00771EDB">
        <w:rPr>
          <w:rFonts w:ascii="Times New Roman" w:hAnsi="Times New Roman"/>
          <w:color w:val="222222"/>
          <w:sz w:val="24"/>
          <w:szCs w:val="24"/>
          <w:shd w:val="clear" w:color="auto" w:fill="FFFFFF"/>
        </w:rPr>
        <w:t>. Emerald Publishing Limited, 2021.</w:t>
      </w:r>
    </w:p>
    <w:p w14:paraId="376B0D31" w14:textId="2BD55061" w:rsidR="00890BD6" w:rsidRDefault="00890BD6" w:rsidP="00C269C7">
      <w:pPr>
        <w:pStyle w:val="FootnoteText"/>
        <w:contextualSpacing/>
      </w:pPr>
    </w:p>
  </w:footnote>
  <w:footnote w:id="2">
    <w:p w14:paraId="483C41DB" w14:textId="77777777" w:rsidR="00890BD6" w:rsidRPr="00771EDB" w:rsidRDefault="00890BD6" w:rsidP="00C269C7">
      <w:pPr>
        <w:spacing w:after="0" w:line="240" w:lineRule="auto"/>
        <w:ind w:left="720" w:hanging="720"/>
        <w:contextualSpacing/>
        <w:rPr>
          <w:rFonts w:ascii="Times New Roman" w:hAnsi="Times New Roman"/>
          <w:color w:val="222222"/>
          <w:sz w:val="24"/>
          <w:szCs w:val="24"/>
          <w:shd w:val="clear" w:color="auto" w:fill="FFFFFF"/>
        </w:rPr>
      </w:pPr>
      <w:r>
        <w:rPr>
          <w:rStyle w:val="FootnoteReference"/>
        </w:rPr>
        <w:footnoteRef/>
      </w:r>
      <w:r>
        <w:t xml:space="preserve"> </w:t>
      </w:r>
      <w:r w:rsidRPr="00771EDB">
        <w:rPr>
          <w:rFonts w:ascii="Times New Roman" w:hAnsi="Times New Roman"/>
          <w:color w:val="222222"/>
          <w:sz w:val="24"/>
          <w:szCs w:val="24"/>
          <w:shd w:val="clear" w:color="auto" w:fill="FFFFFF"/>
        </w:rPr>
        <w:t>Kilkelly, Ursula. "The child’s right to religious freedom in international law: The search for meaning." In </w:t>
      </w:r>
      <w:r w:rsidRPr="00771EDB">
        <w:rPr>
          <w:rFonts w:ascii="Times New Roman" w:hAnsi="Times New Roman"/>
          <w:i/>
          <w:iCs/>
          <w:color w:val="222222"/>
          <w:sz w:val="24"/>
          <w:szCs w:val="24"/>
          <w:shd w:val="clear" w:color="auto" w:fill="FFFFFF"/>
        </w:rPr>
        <w:t>Family Rights and Religion</w:t>
      </w:r>
      <w:r w:rsidRPr="00771EDB">
        <w:rPr>
          <w:rFonts w:ascii="Times New Roman" w:hAnsi="Times New Roman"/>
          <w:color w:val="222222"/>
          <w:sz w:val="24"/>
          <w:szCs w:val="24"/>
          <w:shd w:val="clear" w:color="auto" w:fill="FFFFFF"/>
        </w:rPr>
        <w:t>, pp. 123-148. Routledge, 2020.</w:t>
      </w:r>
    </w:p>
    <w:p w14:paraId="5AF78295" w14:textId="58BC3B50" w:rsidR="00890BD6" w:rsidRDefault="00890BD6" w:rsidP="00C269C7">
      <w:pPr>
        <w:pStyle w:val="FootnoteText"/>
        <w:contextualSpacing/>
      </w:pPr>
    </w:p>
  </w:footnote>
  <w:footnote w:id="3">
    <w:p w14:paraId="7DB0D73E" w14:textId="77777777" w:rsidR="00890BD6" w:rsidRPr="00771EDB" w:rsidRDefault="00890BD6" w:rsidP="00C269C7">
      <w:pPr>
        <w:spacing w:after="0" w:line="240" w:lineRule="auto"/>
        <w:ind w:left="720" w:hanging="720"/>
        <w:contextualSpacing/>
        <w:rPr>
          <w:rFonts w:ascii="Times New Roman" w:hAnsi="Times New Roman"/>
          <w:color w:val="222222"/>
          <w:sz w:val="24"/>
          <w:szCs w:val="24"/>
          <w:shd w:val="clear" w:color="auto" w:fill="FFFFFF"/>
        </w:rPr>
      </w:pPr>
      <w:r>
        <w:rPr>
          <w:rStyle w:val="FootnoteReference"/>
        </w:rPr>
        <w:footnoteRef/>
      </w:r>
      <w:r>
        <w:t xml:space="preserve"> </w:t>
      </w:r>
      <w:r w:rsidRPr="00771EDB">
        <w:rPr>
          <w:rFonts w:ascii="Times New Roman" w:hAnsi="Times New Roman"/>
          <w:color w:val="222222"/>
          <w:sz w:val="24"/>
          <w:szCs w:val="24"/>
          <w:shd w:val="clear" w:color="auto" w:fill="FFFFFF"/>
        </w:rPr>
        <w:t>Morieson, Nicholas. </w:t>
      </w:r>
      <w:r w:rsidRPr="00771EDB">
        <w:rPr>
          <w:rFonts w:ascii="Times New Roman" w:hAnsi="Times New Roman"/>
          <w:i/>
          <w:iCs/>
          <w:color w:val="222222"/>
          <w:sz w:val="24"/>
          <w:szCs w:val="24"/>
          <w:shd w:val="clear" w:color="auto" w:fill="FFFFFF"/>
        </w:rPr>
        <w:t>Religion and the Populist Radical Right: Secular Christianism and Populism in Western Europe</w:t>
      </w:r>
      <w:r w:rsidRPr="00771EDB">
        <w:rPr>
          <w:rFonts w:ascii="Times New Roman" w:hAnsi="Times New Roman"/>
          <w:color w:val="222222"/>
          <w:sz w:val="24"/>
          <w:szCs w:val="24"/>
          <w:shd w:val="clear" w:color="auto" w:fill="FFFFFF"/>
        </w:rPr>
        <w:t>. Vernon Press, 2021.</w:t>
      </w:r>
    </w:p>
    <w:p w14:paraId="1543262A" w14:textId="64F3F2A7" w:rsidR="00890BD6" w:rsidRDefault="00890BD6" w:rsidP="00C269C7">
      <w:pPr>
        <w:pStyle w:val="FootnoteText"/>
        <w:contextualSpacing/>
      </w:pPr>
    </w:p>
  </w:footnote>
  <w:footnote w:id="4">
    <w:p w14:paraId="14D130C7" w14:textId="77777777" w:rsidR="00890BD6" w:rsidRPr="00771EDB" w:rsidRDefault="00890BD6" w:rsidP="00C269C7">
      <w:pPr>
        <w:spacing w:after="0" w:line="240" w:lineRule="auto"/>
        <w:ind w:left="720" w:hanging="720"/>
        <w:contextualSpacing/>
        <w:rPr>
          <w:rFonts w:ascii="Times New Roman" w:hAnsi="Times New Roman"/>
          <w:color w:val="222222"/>
          <w:sz w:val="24"/>
          <w:szCs w:val="24"/>
          <w:shd w:val="clear" w:color="auto" w:fill="FFFFFF"/>
        </w:rPr>
      </w:pPr>
      <w:r>
        <w:rPr>
          <w:rStyle w:val="FootnoteReference"/>
        </w:rPr>
        <w:footnoteRef/>
      </w:r>
      <w:r>
        <w:t xml:space="preserve"> </w:t>
      </w:r>
      <w:r w:rsidRPr="00771EDB">
        <w:rPr>
          <w:rFonts w:ascii="Times New Roman" w:hAnsi="Times New Roman"/>
          <w:color w:val="222222"/>
          <w:sz w:val="24"/>
          <w:szCs w:val="24"/>
          <w:shd w:val="clear" w:color="auto" w:fill="FFFFFF"/>
        </w:rPr>
        <w:t>Wilfred, Felix. "Religious Freedom: Beyond the Liberal Paradigm." In </w:t>
      </w:r>
      <w:r w:rsidRPr="00771EDB">
        <w:rPr>
          <w:rFonts w:ascii="Times New Roman" w:hAnsi="Times New Roman"/>
          <w:i/>
          <w:iCs/>
          <w:color w:val="222222"/>
          <w:sz w:val="24"/>
          <w:szCs w:val="24"/>
          <w:shd w:val="clear" w:color="auto" w:fill="FFFFFF"/>
        </w:rPr>
        <w:t>Religious Identities and the Global South</w:t>
      </w:r>
      <w:r w:rsidRPr="00771EDB">
        <w:rPr>
          <w:rFonts w:ascii="Times New Roman" w:hAnsi="Times New Roman"/>
          <w:color w:val="222222"/>
          <w:sz w:val="24"/>
          <w:szCs w:val="24"/>
          <w:shd w:val="clear" w:color="auto" w:fill="FFFFFF"/>
        </w:rPr>
        <w:t>, pp. 197-221. Palgrave Macmillan, Cham, 2021.</w:t>
      </w:r>
    </w:p>
    <w:p w14:paraId="5229AE6E" w14:textId="6B6174F8" w:rsidR="00890BD6" w:rsidRDefault="00890BD6" w:rsidP="00C269C7">
      <w:pPr>
        <w:pStyle w:val="FootnoteText"/>
        <w:contextualSpacing/>
      </w:pPr>
    </w:p>
  </w:footnote>
  <w:footnote w:id="5">
    <w:p w14:paraId="30ED6015" w14:textId="77777777" w:rsidR="00890BD6" w:rsidRDefault="00890BD6" w:rsidP="00C269C7">
      <w:pPr>
        <w:spacing w:after="0" w:line="240" w:lineRule="auto"/>
        <w:ind w:left="720" w:hanging="720"/>
        <w:contextualSpacing/>
        <w:rPr>
          <w:rFonts w:ascii="Times New Roman" w:hAnsi="Times New Roman"/>
          <w:color w:val="222222"/>
          <w:sz w:val="24"/>
          <w:szCs w:val="24"/>
          <w:shd w:val="clear" w:color="auto" w:fill="FFFFFF"/>
        </w:rPr>
      </w:pPr>
      <w:r>
        <w:rPr>
          <w:rStyle w:val="FootnoteReference"/>
        </w:rPr>
        <w:footnoteRef/>
      </w:r>
      <w:r>
        <w:t xml:space="preserve"> </w:t>
      </w:r>
      <w:r w:rsidRPr="00771EDB">
        <w:rPr>
          <w:rFonts w:ascii="Times New Roman" w:hAnsi="Times New Roman"/>
          <w:color w:val="222222"/>
          <w:sz w:val="24"/>
          <w:szCs w:val="24"/>
          <w:shd w:val="clear" w:color="auto" w:fill="FFFFFF"/>
        </w:rPr>
        <w:t>Wong, Mathew YH, Ying-ho Kwong, and Venisa Yeuk Wah Chau. "Democracy, constitutional framework, and human rights: A comparison of Monaco, Tonga, Hong Kong, and Singapore." </w:t>
      </w:r>
      <w:r w:rsidRPr="00771EDB">
        <w:rPr>
          <w:rFonts w:ascii="Times New Roman" w:hAnsi="Times New Roman"/>
          <w:i/>
          <w:iCs/>
          <w:color w:val="222222"/>
          <w:sz w:val="24"/>
          <w:szCs w:val="24"/>
          <w:shd w:val="clear" w:color="auto" w:fill="FFFFFF"/>
        </w:rPr>
        <w:t>International Journal of Law, Crime and Justice</w:t>
      </w:r>
      <w:r w:rsidRPr="00771EDB">
        <w:rPr>
          <w:rFonts w:ascii="Times New Roman" w:hAnsi="Times New Roman"/>
          <w:color w:val="222222"/>
          <w:sz w:val="24"/>
          <w:szCs w:val="24"/>
          <w:shd w:val="clear" w:color="auto" w:fill="FFFFFF"/>
        </w:rPr>
        <w:t> 64 (2021): 100438.</w:t>
      </w:r>
    </w:p>
    <w:p w14:paraId="42D6178F" w14:textId="3E251D9A" w:rsidR="00890BD6" w:rsidRDefault="00890BD6" w:rsidP="00C269C7">
      <w:pPr>
        <w:pStyle w:val="FootnoteText"/>
        <w:contextualSpacing/>
      </w:pPr>
    </w:p>
  </w:footnote>
  <w:footnote w:id="6">
    <w:p w14:paraId="7DB8830E" w14:textId="77777777" w:rsidR="00890BD6" w:rsidRPr="00771EDB" w:rsidRDefault="00890BD6" w:rsidP="00C269C7">
      <w:pPr>
        <w:spacing w:after="0" w:line="240" w:lineRule="auto"/>
        <w:ind w:left="720" w:hanging="720"/>
        <w:contextualSpacing/>
        <w:rPr>
          <w:rFonts w:ascii="Times New Roman" w:eastAsia="Times New Roman" w:hAnsi="Times New Roman"/>
          <w:color w:val="0E101A"/>
          <w:sz w:val="24"/>
          <w:szCs w:val="24"/>
          <w:lang w:eastAsia="en-US"/>
        </w:rPr>
      </w:pPr>
      <w:r>
        <w:rPr>
          <w:rStyle w:val="FootnoteReference"/>
        </w:rPr>
        <w:footnoteRef/>
      </w:r>
      <w:r>
        <w:t xml:space="preserve"> </w:t>
      </w:r>
      <w:r w:rsidRPr="00771EDB">
        <w:rPr>
          <w:rFonts w:ascii="Times New Roman" w:hAnsi="Times New Roman"/>
          <w:color w:val="222222"/>
          <w:sz w:val="24"/>
          <w:szCs w:val="24"/>
          <w:shd w:val="clear" w:color="auto" w:fill="FFFFFF"/>
        </w:rPr>
        <w:t>Ogurlu, Uzeyir, and Koksal Avincan. "Right to Education: Challenges and Issues Under the Justice and Development Party Era." In </w:t>
      </w:r>
      <w:r w:rsidRPr="00771EDB">
        <w:rPr>
          <w:rFonts w:ascii="Times New Roman" w:hAnsi="Times New Roman"/>
          <w:i/>
          <w:iCs/>
          <w:color w:val="222222"/>
          <w:sz w:val="24"/>
          <w:szCs w:val="24"/>
          <w:shd w:val="clear" w:color="auto" w:fill="FFFFFF"/>
        </w:rPr>
        <w:t>Human Rights in Turkey</w:t>
      </w:r>
      <w:r w:rsidRPr="00771EDB">
        <w:rPr>
          <w:rFonts w:ascii="Times New Roman" w:hAnsi="Times New Roman"/>
          <w:color w:val="222222"/>
          <w:sz w:val="24"/>
          <w:szCs w:val="24"/>
          <w:shd w:val="clear" w:color="auto" w:fill="FFFFFF"/>
        </w:rPr>
        <w:t>, pp. 319-337. Springer, Cham, 2021.</w:t>
      </w:r>
    </w:p>
    <w:p w14:paraId="5D28E402" w14:textId="561BA5E7" w:rsidR="00890BD6" w:rsidRDefault="00890BD6" w:rsidP="00C269C7">
      <w:pPr>
        <w:pStyle w:val="FootnoteText"/>
        <w:contextualSpacing/>
      </w:pPr>
    </w:p>
  </w:footnote>
  <w:footnote w:id="7">
    <w:p w14:paraId="1FF20933" w14:textId="77777777" w:rsidR="00890BD6" w:rsidRPr="00771EDB" w:rsidRDefault="00890BD6" w:rsidP="00C269C7">
      <w:pPr>
        <w:spacing w:after="0" w:line="240" w:lineRule="auto"/>
        <w:ind w:left="720" w:hanging="720"/>
        <w:contextualSpacing/>
        <w:rPr>
          <w:rFonts w:ascii="Times New Roman" w:hAnsi="Times New Roman"/>
          <w:color w:val="222222"/>
          <w:sz w:val="24"/>
          <w:szCs w:val="24"/>
          <w:shd w:val="clear" w:color="auto" w:fill="FFFFFF"/>
        </w:rPr>
      </w:pPr>
      <w:r>
        <w:rPr>
          <w:rStyle w:val="FootnoteReference"/>
        </w:rPr>
        <w:footnoteRef/>
      </w:r>
      <w:r>
        <w:t xml:space="preserve"> </w:t>
      </w:r>
      <w:r w:rsidRPr="00771EDB">
        <w:rPr>
          <w:rFonts w:ascii="Times New Roman" w:hAnsi="Times New Roman"/>
          <w:color w:val="222222"/>
          <w:sz w:val="24"/>
          <w:szCs w:val="24"/>
          <w:shd w:val="clear" w:color="auto" w:fill="FFFFFF"/>
        </w:rPr>
        <w:t>Mehfooz, Musferah. "Religious Freedom in Pakistan: A Case Study of Religious Minorities." </w:t>
      </w:r>
      <w:r w:rsidRPr="00771EDB">
        <w:rPr>
          <w:rFonts w:ascii="Times New Roman" w:hAnsi="Times New Roman"/>
          <w:i/>
          <w:iCs/>
          <w:color w:val="222222"/>
          <w:sz w:val="24"/>
          <w:szCs w:val="24"/>
          <w:shd w:val="clear" w:color="auto" w:fill="FFFFFF"/>
        </w:rPr>
        <w:t>Religions</w:t>
      </w:r>
      <w:r w:rsidRPr="00771EDB">
        <w:rPr>
          <w:rFonts w:ascii="Times New Roman" w:hAnsi="Times New Roman"/>
          <w:color w:val="222222"/>
          <w:sz w:val="24"/>
          <w:szCs w:val="24"/>
          <w:shd w:val="clear" w:color="auto" w:fill="FFFFFF"/>
        </w:rPr>
        <w:t> 12, no. 1 (2021): 51.</w:t>
      </w:r>
    </w:p>
    <w:p w14:paraId="1AAA029D" w14:textId="49035573" w:rsidR="00890BD6" w:rsidRDefault="00890BD6" w:rsidP="00C269C7">
      <w:pPr>
        <w:pStyle w:val="FootnoteText"/>
        <w:contextualSpacing/>
      </w:pPr>
    </w:p>
  </w:footnote>
  <w:footnote w:id="8">
    <w:p w14:paraId="7510F69A" w14:textId="77777777" w:rsidR="003A7BAF" w:rsidRPr="00771EDB" w:rsidRDefault="003A7BAF" w:rsidP="00C269C7">
      <w:pPr>
        <w:spacing w:after="0" w:line="240" w:lineRule="auto"/>
        <w:ind w:left="720" w:hanging="720"/>
        <w:contextualSpacing/>
        <w:rPr>
          <w:rFonts w:ascii="Times New Roman" w:hAnsi="Times New Roman"/>
          <w:color w:val="222222"/>
          <w:sz w:val="24"/>
          <w:szCs w:val="24"/>
          <w:shd w:val="clear" w:color="auto" w:fill="FFFFFF"/>
        </w:rPr>
      </w:pPr>
      <w:r>
        <w:rPr>
          <w:rStyle w:val="FootnoteReference"/>
        </w:rPr>
        <w:footnoteRef/>
      </w:r>
      <w:r>
        <w:t xml:space="preserve"> </w:t>
      </w:r>
      <w:r w:rsidRPr="00771EDB">
        <w:rPr>
          <w:rFonts w:ascii="Times New Roman" w:hAnsi="Times New Roman"/>
          <w:color w:val="222222"/>
          <w:sz w:val="24"/>
          <w:szCs w:val="24"/>
          <w:shd w:val="clear" w:color="auto" w:fill="FFFFFF"/>
        </w:rPr>
        <w:t>Yilmaz, Ihsan, Nicholas Morieson, and Mustafa Demir. "Exploring Religions in Relation to Populism: A Tour around the World." </w:t>
      </w:r>
      <w:r w:rsidRPr="00771EDB">
        <w:rPr>
          <w:rFonts w:ascii="Times New Roman" w:hAnsi="Times New Roman"/>
          <w:i/>
          <w:iCs/>
          <w:color w:val="222222"/>
          <w:sz w:val="24"/>
          <w:szCs w:val="24"/>
          <w:shd w:val="clear" w:color="auto" w:fill="FFFFFF"/>
        </w:rPr>
        <w:t>Religions</w:t>
      </w:r>
      <w:r w:rsidRPr="00771EDB">
        <w:rPr>
          <w:rFonts w:ascii="Times New Roman" w:hAnsi="Times New Roman"/>
          <w:color w:val="222222"/>
          <w:sz w:val="24"/>
          <w:szCs w:val="24"/>
          <w:shd w:val="clear" w:color="auto" w:fill="FFFFFF"/>
        </w:rPr>
        <w:t> 12, no. 5 (2021): 301.</w:t>
      </w:r>
    </w:p>
    <w:p w14:paraId="26D16BB5" w14:textId="77777777" w:rsidR="003A7BAF" w:rsidRPr="00771EDB" w:rsidRDefault="003A7BAF" w:rsidP="00C269C7">
      <w:pPr>
        <w:spacing w:after="0" w:line="240" w:lineRule="auto"/>
        <w:ind w:left="720" w:hanging="720"/>
        <w:contextualSpacing/>
        <w:rPr>
          <w:rFonts w:ascii="Times New Roman" w:eastAsia="Times New Roman" w:hAnsi="Times New Roman"/>
          <w:color w:val="0E101A"/>
          <w:sz w:val="24"/>
          <w:szCs w:val="24"/>
          <w:lang w:eastAsia="en-US"/>
        </w:rPr>
      </w:pPr>
    </w:p>
    <w:p w14:paraId="4B1DB8AC" w14:textId="77777777" w:rsidR="003A7BAF" w:rsidRPr="00771EDB" w:rsidRDefault="003A7BAF" w:rsidP="00C269C7">
      <w:pPr>
        <w:spacing w:after="0" w:line="240" w:lineRule="auto"/>
        <w:ind w:left="720" w:hanging="720"/>
        <w:contextualSpacing/>
        <w:rPr>
          <w:rFonts w:ascii="Times New Roman" w:eastAsia="Times New Roman" w:hAnsi="Times New Roman"/>
          <w:color w:val="0E101A"/>
          <w:sz w:val="24"/>
          <w:szCs w:val="24"/>
          <w:lang w:eastAsia="en-US"/>
        </w:rPr>
      </w:pPr>
    </w:p>
    <w:p w14:paraId="1BAB9E02" w14:textId="2FCD610D" w:rsidR="003A7BAF" w:rsidRDefault="003A7BAF" w:rsidP="00C269C7">
      <w:pPr>
        <w:pStyle w:val="FootnoteText"/>
        <w:contextualSpacin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365709"/>
      <w:docPartObj>
        <w:docPartGallery w:val="Page Numbers (Top of Page)"/>
        <w:docPartUnique/>
      </w:docPartObj>
    </w:sdtPr>
    <w:sdtEndPr>
      <w:rPr>
        <w:rFonts w:ascii="Times New Roman" w:hAnsi="Times New Roman"/>
        <w:noProof/>
        <w:sz w:val="24"/>
        <w:szCs w:val="24"/>
      </w:rPr>
    </w:sdtEndPr>
    <w:sdtContent>
      <w:p w14:paraId="04979974" w14:textId="1923CCF9" w:rsidR="00171CBA" w:rsidRPr="00171CBA" w:rsidRDefault="00171CBA">
        <w:pPr>
          <w:pStyle w:val="Header"/>
          <w:jc w:val="right"/>
          <w:rPr>
            <w:rFonts w:ascii="Times New Roman" w:hAnsi="Times New Roman"/>
            <w:sz w:val="24"/>
            <w:szCs w:val="24"/>
          </w:rPr>
        </w:pPr>
        <w:r w:rsidRPr="00171CBA">
          <w:rPr>
            <w:rFonts w:ascii="Times New Roman" w:hAnsi="Times New Roman"/>
            <w:sz w:val="24"/>
            <w:szCs w:val="24"/>
          </w:rPr>
          <w:fldChar w:fldCharType="begin"/>
        </w:r>
        <w:r w:rsidRPr="00171CBA">
          <w:rPr>
            <w:rFonts w:ascii="Times New Roman" w:hAnsi="Times New Roman"/>
            <w:sz w:val="24"/>
            <w:szCs w:val="24"/>
          </w:rPr>
          <w:instrText xml:space="preserve"> PAGE   \* MERGEFORMAT </w:instrText>
        </w:r>
        <w:r w:rsidRPr="00171CBA">
          <w:rPr>
            <w:rFonts w:ascii="Times New Roman" w:hAnsi="Times New Roman"/>
            <w:sz w:val="24"/>
            <w:szCs w:val="24"/>
          </w:rPr>
          <w:fldChar w:fldCharType="separate"/>
        </w:r>
        <w:r w:rsidR="008F2128">
          <w:rPr>
            <w:rFonts w:ascii="Times New Roman" w:hAnsi="Times New Roman"/>
            <w:noProof/>
            <w:sz w:val="24"/>
            <w:szCs w:val="24"/>
          </w:rPr>
          <w:t>1</w:t>
        </w:r>
        <w:r w:rsidRPr="00171CBA">
          <w:rPr>
            <w:rFonts w:ascii="Times New Roman" w:hAnsi="Times New Roman"/>
            <w:noProof/>
            <w:sz w:val="24"/>
            <w:szCs w:val="24"/>
          </w:rPr>
          <w:fldChar w:fldCharType="end"/>
        </w:r>
      </w:p>
    </w:sdtContent>
  </w:sdt>
  <w:p w14:paraId="6E618F2D" w14:textId="77777777" w:rsidR="00A8261A" w:rsidRDefault="00A8261A">
    <w:pPr>
      <w:pStyle w:val="Header"/>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993004"/>
      <w:docPartObj>
        <w:docPartGallery w:val="Page Numbers (Top of Page)"/>
        <w:docPartUnique/>
      </w:docPartObj>
    </w:sdtPr>
    <w:sdtEndPr>
      <w:rPr>
        <w:noProof/>
      </w:rPr>
    </w:sdtEndPr>
    <w:sdtContent>
      <w:p w14:paraId="5A3D578C" w14:textId="083CB87B" w:rsidR="00171CBA" w:rsidRDefault="00171CB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2541759" w14:textId="77777777" w:rsidR="005E4C91" w:rsidRDefault="005E4C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62559"/>
    <w:multiLevelType w:val="multilevel"/>
    <w:tmpl w:val="F39EBA22"/>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55"/>
    <w:rsid w:val="00005460"/>
    <w:rsid w:val="000249ED"/>
    <w:rsid w:val="00053236"/>
    <w:rsid w:val="00066422"/>
    <w:rsid w:val="000732F4"/>
    <w:rsid w:val="000C0DA7"/>
    <w:rsid w:val="000C74F9"/>
    <w:rsid w:val="000E5916"/>
    <w:rsid w:val="000F3E00"/>
    <w:rsid w:val="000F69FD"/>
    <w:rsid w:val="00130725"/>
    <w:rsid w:val="0014795C"/>
    <w:rsid w:val="0016308C"/>
    <w:rsid w:val="00171CBA"/>
    <w:rsid w:val="0017687F"/>
    <w:rsid w:val="001849D7"/>
    <w:rsid w:val="001F0D4D"/>
    <w:rsid w:val="001F2FF5"/>
    <w:rsid w:val="002114B9"/>
    <w:rsid w:val="00245186"/>
    <w:rsid w:val="00250430"/>
    <w:rsid w:val="002523BF"/>
    <w:rsid w:val="00260CA5"/>
    <w:rsid w:val="00266505"/>
    <w:rsid w:val="002B1FF8"/>
    <w:rsid w:val="002C47D4"/>
    <w:rsid w:val="002D4B39"/>
    <w:rsid w:val="002E7A69"/>
    <w:rsid w:val="002F0198"/>
    <w:rsid w:val="00320953"/>
    <w:rsid w:val="003212BB"/>
    <w:rsid w:val="00366442"/>
    <w:rsid w:val="003744A0"/>
    <w:rsid w:val="00384BDD"/>
    <w:rsid w:val="003A250C"/>
    <w:rsid w:val="003A79A8"/>
    <w:rsid w:val="003A7BAF"/>
    <w:rsid w:val="003B00FB"/>
    <w:rsid w:val="003C4055"/>
    <w:rsid w:val="003D4308"/>
    <w:rsid w:val="003D6E94"/>
    <w:rsid w:val="003E5838"/>
    <w:rsid w:val="004063AE"/>
    <w:rsid w:val="00414143"/>
    <w:rsid w:val="004145EE"/>
    <w:rsid w:val="004252B6"/>
    <w:rsid w:val="00425B44"/>
    <w:rsid w:val="004303DD"/>
    <w:rsid w:val="004308E1"/>
    <w:rsid w:val="00435C12"/>
    <w:rsid w:val="0043681F"/>
    <w:rsid w:val="00470466"/>
    <w:rsid w:val="00485CC0"/>
    <w:rsid w:val="004B3441"/>
    <w:rsid w:val="004D4B1D"/>
    <w:rsid w:val="0051416C"/>
    <w:rsid w:val="005353EF"/>
    <w:rsid w:val="00550CA4"/>
    <w:rsid w:val="00552A44"/>
    <w:rsid w:val="00554CE8"/>
    <w:rsid w:val="00564F6E"/>
    <w:rsid w:val="00582D34"/>
    <w:rsid w:val="00587A72"/>
    <w:rsid w:val="00590CCA"/>
    <w:rsid w:val="005A5213"/>
    <w:rsid w:val="005B7B10"/>
    <w:rsid w:val="005C2405"/>
    <w:rsid w:val="005E3CFC"/>
    <w:rsid w:val="005E4C91"/>
    <w:rsid w:val="00611EDF"/>
    <w:rsid w:val="006211EA"/>
    <w:rsid w:val="0063436E"/>
    <w:rsid w:val="00637534"/>
    <w:rsid w:val="006442AD"/>
    <w:rsid w:val="00683668"/>
    <w:rsid w:val="006E00D9"/>
    <w:rsid w:val="00712CBD"/>
    <w:rsid w:val="007228F3"/>
    <w:rsid w:val="0076406E"/>
    <w:rsid w:val="00764C45"/>
    <w:rsid w:val="00767375"/>
    <w:rsid w:val="00771EDB"/>
    <w:rsid w:val="00780D06"/>
    <w:rsid w:val="00782299"/>
    <w:rsid w:val="00785A9C"/>
    <w:rsid w:val="007A206E"/>
    <w:rsid w:val="007A2BA6"/>
    <w:rsid w:val="007F1E4A"/>
    <w:rsid w:val="00844520"/>
    <w:rsid w:val="00844E81"/>
    <w:rsid w:val="0086698B"/>
    <w:rsid w:val="00877DFE"/>
    <w:rsid w:val="0088068A"/>
    <w:rsid w:val="008808CE"/>
    <w:rsid w:val="00884286"/>
    <w:rsid w:val="00890BD6"/>
    <w:rsid w:val="008964AB"/>
    <w:rsid w:val="008A3055"/>
    <w:rsid w:val="008A317C"/>
    <w:rsid w:val="008A5E4D"/>
    <w:rsid w:val="008A7F08"/>
    <w:rsid w:val="008E5727"/>
    <w:rsid w:val="008F07CD"/>
    <w:rsid w:val="008F2128"/>
    <w:rsid w:val="009243AD"/>
    <w:rsid w:val="00926048"/>
    <w:rsid w:val="0093106F"/>
    <w:rsid w:val="00933B82"/>
    <w:rsid w:val="0094137C"/>
    <w:rsid w:val="0094551F"/>
    <w:rsid w:val="00963AC4"/>
    <w:rsid w:val="00965F05"/>
    <w:rsid w:val="009B585A"/>
    <w:rsid w:val="009C7866"/>
    <w:rsid w:val="009E6028"/>
    <w:rsid w:val="009E775D"/>
    <w:rsid w:val="00A05FCF"/>
    <w:rsid w:val="00A1384A"/>
    <w:rsid w:val="00A3781E"/>
    <w:rsid w:val="00A8261A"/>
    <w:rsid w:val="00A90301"/>
    <w:rsid w:val="00A92D18"/>
    <w:rsid w:val="00AA5DAB"/>
    <w:rsid w:val="00AB2399"/>
    <w:rsid w:val="00AB5639"/>
    <w:rsid w:val="00AC217E"/>
    <w:rsid w:val="00AC5540"/>
    <w:rsid w:val="00AD3FF7"/>
    <w:rsid w:val="00AD530C"/>
    <w:rsid w:val="00AE3770"/>
    <w:rsid w:val="00AF1715"/>
    <w:rsid w:val="00B10322"/>
    <w:rsid w:val="00B91D67"/>
    <w:rsid w:val="00BA4829"/>
    <w:rsid w:val="00BB6898"/>
    <w:rsid w:val="00BC521A"/>
    <w:rsid w:val="00BC7C4D"/>
    <w:rsid w:val="00BD23CC"/>
    <w:rsid w:val="00BE1489"/>
    <w:rsid w:val="00C0637F"/>
    <w:rsid w:val="00C1637F"/>
    <w:rsid w:val="00C2654F"/>
    <w:rsid w:val="00C269C7"/>
    <w:rsid w:val="00C617FD"/>
    <w:rsid w:val="00C677BE"/>
    <w:rsid w:val="00C71856"/>
    <w:rsid w:val="00C803EE"/>
    <w:rsid w:val="00C95CBA"/>
    <w:rsid w:val="00CB6367"/>
    <w:rsid w:val="00CC2D87"/>
    <w:rsid w:val="00CC5BAB"/>
    <w:rsid w:val="00D12E92"/>
    <w:rsid w:val="00D345AE"/>
    <w:rsid w:val="00D34DCA"/>
    <w:rsid w:val="00D35DB2"/>
    <w:rsid w:val="00D55E2B"/>
    <w:rsid w:val="00D62723"/>
    <w:rsid w:val="00D85006"/>
    <w:rsid w:val="00D86820"/>
    <w:rsid w:val="00D876A6"/>
    <w:rsid w:val="00D8777B"/>
    <w:rsid w:val="00D91733"/>
    <w:rsid w:val="00DA48E7"/>
    <w:rsid w:val="00DB60C8"/>
    <w:rsid w:val="00DB65B4"/>
    <w:rsid w:val="00DB6BC0"/>
    <w:rsid w:val="00DC2CA4"/>
    <w:rsid w:val="00E04657"/>
    <w:rsid w:val="00E15C6F"/>
    <w:rsid w:val="00E16E2F"/>
    <w:rsid w:val="00E22BF3"/>
    <w:rsid w:val="00E31E9F"/>
    <w:rsid w:val="00E55845"/>
    <w:rsid w:val="00E56A98"/>
    <w:rsid w:val="00E5705A"/>
    <w:rsid w:val="00E63BB5"/>
    <w:rsid w:val="00E64678"/>
    <w:rsid w:val="00E90547"/>
    <w:rsid w:val="00E94691"/>
    <w:rsid w:val="00E947B1"/>
    <w:rsid w:val="00EA2A30"/>
    <w:rsid w:val="00EA7FFC"/>
    <w:rsid w:val="00EB30F6"/>
    <w:rsid w:val="00EB7C44"/>
    <w:rsid w:val="00EC0667"/>
    <w:rsid w:val="00ED06AC"/>
    <w:rsid w:val="00EE59CB"/>
    <w:rsid w:val="00F14571"/>
    <w:rsid w:val="00F21F97"/>
    <w:rsid w:val="00F63A56"/>
    <w:rsid w:val="00F67B20"/>
    <w:rsid w:val="00F747D9"/>
    <w:rsid w:val="00F77DE3"/>
    <w:rsid w:val="00F80044"/>
    <w:rsid w:val="00F87D7B"/>
    <w:rsid w:val="00FA5CD1"/>
    <w:rsid w:val="00FA6067"/>
    <w:rsid w:val="00FA71AA"/>
    <w:rsid w:val="00FB1754"/>
    <w:rsid w:val="00FC2092"/>
    <w:rsid w:val="00FC266A"/>
    <w:rsid w:val="00FD3FC9"/>
    <w:rsid w:val="00FF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2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Heading1">
    <w:name w:val="heading 1"/>
    <w:basedOn w:val="Normal"/>
    <w:next w:val="Normal"/>
    <w:qFormat/>
    <w:pPr>
      <w:keepNext/>
      <w:numPr>
        <w:numId w:val="1"/>
      </w:numPr>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semiHidden/>
    <w:unhideWhenUsed/>
    <w:qFormat/>
    <w:rsid w:val="00B103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qFormat/>
    <w:rPr>
      <w:rFonts w:ascii="Times New Roman" w:eastAsia="Times New Roman" w:hAnsi="Times New Roman" w:cs="Times New Roman"/>
      <w:b/>
      <w:bCs/>
      <w:sz w:val="27"/>
      <w:szCs w:val="27"/>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basedOn w:val="DefaultParagraphFont"/>
    <w:uiPriority w:val="99"/>
    <w:qFormat/>
  </w:style>
  <w:style w:type="character" w:customStyle="1" w:styleId="FooterChar">
    <w:name w:val="Footer Char"/>
    <w:basedOn w:val="DefaultParagraphFont"/>
    <w:qFormat/>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InternetLink">
    <w:name w:val="Internet Link"/>
    <w:rPr>
      <w:color w:val="0563C1"/>
      <w:u w:val="single"/>
    </w:rPr>
  </w:style>
  <w:style w:type="character" w:customStyle="1" w:styleId="StrongEmphasis">
    <w:name w:val="Strong Emphasis"/>
    <w:qFormat/>
    <w:rPr>
      <w:b/>
      <w:b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WenQuanYi Micro Hei"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FootnoteText">
    <w:name w:val="footnote text"/>
    <w:basedOn w:val="Normal"/>
    <w:pPr>
      <w:spacing w:after="0" w:line="240" w:lineRule="auto"/>
    </w:pPr>
    <w:rPr>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uiPriority w:val="99"/>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Bibliography">
    <w:name w:val="Bibliography"/>
    <w:basedOn w:val="Normal"/>
    <w:next w:val="Normal"/>
    <w:qFormat/>
  </w:style>
  <w:style w:type="paragraph" w:styleId="TOCHeading">
    <w:name w:val="TOC Heading"/>
    <w:basedOn w:val="Heading1"/>
    <w:next w:val="Normal"/>
    <w:qFormat/>
    <w:pPr>
      <w:keepLines/>
      <w:numPr>
        <w:numId w:val="0"/>
      </w:numPr>
      <w:spacing w:after="0" w:line="256" w:lineRule="auto"/>
    </w:pPr>
    <w:rPr>
      <w:b w:val="0"/>
      <w:bCs w:val="0"/>
      <w:color w:val="2E74B5"/>
      <w:kern w:val="0"/>
    </w:rPr>
  </w:style>
  <w:style w:type="paragraph" w:styleId="TOC1">
    <w:name w:val="toc 1"/>
    <w:basedOn w:val="Normal"/>
    <w:next w:val="Normal"/>
  </w:style>
  <w:style w:type="paragraph" w:styleId="NormalWeb">
    <w:name w:val="Normal (Web)"/>
    <w:basedOn w:val="Normal"/>
    <w:uiPriority w:val="99"/>
    <w:qFormat/>
    <w:pPr>
      <w:spacing w:before="280" w:after="280" w:line="240" w:lineRule="auto"/>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AC5540"/>
    <w:rPr>
      <w:vertAlign w:val="superscript"/>
    </w:rPr>
  </w:style>
  <w:style w:type="character" w:styleId="Hyperlink">
    <w:name w:val="Hyperlink"/>
    <w:basedOn w:val="DefaultParagraphFont"/>
    <w:uiPriority w:val="99"/>
    <w:unhideWhenUsed/>
    <w:rsid w:val="00414143"/>
    <w:rPr>
      <w:color w:val="0000FF"/>
      <w:u w:val="single"/>
    </w:rPr>
  </w:style>
  <w:style w:type="character" w:styleId="CommentReference">
    <w:name w:val="annotation reference"/>
    <w:basedOn w:val="DefaultParagraphFont"/>
    <w:uiPriority w:val="99"/>
    <w:semiHidden/>
    <w:unhideWhenUsed/>
    <w:rsid w:val="003212BB"/>
    <w:rPr>
      <w:sz w:val="16"/>
      <w:szCs w:val="16"/>
    </w:rPr>
  </w:style>
  <w:style w:type="paragraph" w:styleId="CommentText">
    <w:name w:val="annotation text"/>
    <w:basedOn w:val="Normal"/>
    <w:link w:val="CommentTextChar"/>
    <w:uiPriority w:val="99"/>
    <w:semiHidden/>
    <w:unhideWhenUsed/>
    <w:rsid w:val="003212BB"/>
    <w:pPr>
      <w:spacing w:line="240" w:lineRule="auto"/>
    </w:pPr>
    <w:rPr>
      <w:sz w:val="20"/>
      <w:szCs w:val="20"/>
    </w:rPr>
  </w:style>
  <w:style w:type="character" w:customStyle="1" w:styleId="CommentTextChar">
    <w:name w:val="Comment Text Char"/>
    <w:basedOn w:val="DefaultParagraphFont"/>
    <w:link w:val="CommentText"/>
    <w:uiPriority w:val="99"/>
    <w:semiHidden/>
    <w:rsid w:val="003212BB"/>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3212BB"/>
    <w:rPr>
      <w:b/>
      <w:bCs/>
    </w:rPr>
  </w:style>
  <w:style w:type="character" w:customStyle="1" w:styleId="CommentSubjectChar">
    <w:name w:val="Comment Subject Char"/>
    <w:basedOn w:val="CommentTextChar"/>
    <w:link w:val="CommentSubject"/>
    <w:uiPriority w:val="99"/>
    <w:semiHidden/>
    <w:rsid w:val="003212BB"/>
    <w:rPr>
      <w:rFonts w:ascii="Calibri" w:eastAsia="Calibri" w:hAnsi="Calibri" w:cs="Times New Roman"/>
      <w:b/>
      <w:bCs/>
      <w:sz w:val="20"/>
      <w:szCs w:val="20"/>
      <w:lang w:bidi="ar-SA"/>
    </w:rPr>
  </w:style>
  <w:style w:type="paragraph" w:styleId="BalloonText">
    <w:name w:val="Balloon Text"/>
    <w:basedOn w:val="Normal"/>
    <w:link w:val="BalloonTextChar"/>
    <w:uiPriority w:val="99"/>
    <w:semiHidden/>
    <w:unhideWhenUsed/>
    <w:rsid w:val="0032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BB"/>
    <w:rPr>
      <w:rFonts w:ascii="Segoe UI" w:eastAsia="Calibri" w:hAnsi="Segoe UI" w:cs="Segoe UI"/>
      <w:sz w:val="18"/>
      <w:szCs w:val="18"/>
      <w:lang w:bidi="ar-SA"/>
    </w:rPr>
  </w:style>
  <w:style w:type="character" w:customStyle="1" w:styleId="Heading2Char">
    <w:name w:val="Heading 2 Char"/>
    <w:basedOn w:val="DefaultParagraphFont"/>
    <w:link w:val="Heading2"/>
    <w:uiPriority w:val="9"/>
    <w:semiHidden/>
    <w:rsid w:val="00B10322"/>
    <w:rPr>
      <w:rFonts w:asciiTheme="majorHAnsi" w:eastAsiaTheme="majorEastAsia" w:hAnsiTheme="majorHAnsi" w:cstheme="majorBidi"/>
      <w:color w:val="2E74B5" w:themeColor="accent1" w:themeShade="BF"/>
      <w:sz w:val="26"/>
      <w:szCs w:val="26"/>
      <w:lang w:bidi="ar-SA"/>
    </w:rPr>
  </w:style>
  <w:style w:type="character" w:styleId="Strong">
    <w:name w:val="Strong"/>
    <w:basedOn w:val="DefaultParagraphFont"/>
    <w:uiPriority w:val="22"/>
    <w:qFormat/>
    <w:rsid w:val="00C063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Noto Sans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paragraph" w:styleId="Heading1">
    <w:name w:val="heading 1"/>
    <w:basedOn w:val="Normal"/>
    <w:next w:val="Normal"/>
    <w:qFormat/>
    <w:pPr>
      <w:keepNext/>
      <w:numPr>
        <w:numId w:val="1"/>
      </w:numPr>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semiHidden/>
    <w:unhideWhenUsed/>
    <w:qFormat/>
    <w:rsid w:val="00B103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qFormat/>
    <w:rPr>
      <w:rFonts w:ascii="Times New Roman" w:eastAsia="Times New Roman" w:hAnsi="Times New Roman" w:cs="Times New Roman"/>
      <w:b/>
      <w:bCs/>
      <w:sz w:val="27"/>
      <w:szCs w:val="27"/>
    </w:rPr>
  </w:style>
  <w:style w:type="character" w:customStyle="1" w:styleId="FootnoteTextChar">
    <w:name w:val="Footnote Text Char"/>
    <w:qFormat/>
    <w:rPr>
      <w:sz w:val="20"/>
      <w:szCs w:val="20"/>
    </w:rPr>
  </w:style>
  <w:style w:type="character" w:customStyle="1" w:styleId="FootnoteCharacters">
    <w:name w:val="Footnote Characters"/>
    <w:qFormat/>
    <w:rPr>
      <w:vertAlign w:val="superscript"/>
    </w:rPr>
  </w:style>
  <w:style w:type="character" w:customStyle="1" w:styleId="HeaderChar">
    <w:name w:val="Header Char"/>
    <w:basedOn w:val="DefaultParagraphFont"/>
    <w:uiPriority w:val="99"/>
    <w:qFormat/>
  </w:style>
  <w:style w:type="character" w:customStyle="1" w:styleId="FooterChar">
    <w:name w:val="Footer Char"/>
    <w:basedOn w:val="DefaultParagraphFont"/>
    <w:qFormat/>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InternetLink">
    <w:name w:val="Internet Link"/>
    <w:rPr>
      <w:color w:val="0563C1"/>
      <w:u w:val="single"/>
    </w:rPr>
  </w:style>
  <w:style w:type="character" w:customStyle="1" w:styleId="StrongEmphasis">
    <w:name w:val="Strong Emphasis"/>
    <w:qFormat/>
    <w:rPr>
      <w:b/>
      <w:bCs/>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WenQuanYi Micro Hei"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FootnoteText">
    <w:name w:val="footnote text"/>
    <w:basedOn w:val="Normal"/>
    <w:pPr>
      <w:spacing w:after="0" w:line="240" w:lineRule="auto"/>
    </w:pPr>
    <w:rPr>
      <w:sz w:val="20"/>
      <w:szCs w:val="20"/>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uiPriority w:val="99"/>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Bibliography">
    <w:name w:val="Bibliography"/>
    <w:basedOn w:val="Normal"/>
    <w:next w:val="Normal"/>
    <w:qFormat/>
  </w:style>
  <w:style w:type="paragraph" w:styleId="TOCHeading">
    <w:name w:val="TOC Heading"/>
    <w:basedOn w:val="Heading1"/>
    <w:next w:val="Normal"/>
    <w:qFormat/>
    <w:pPr>
      <w:keepLines/>
      <w:numPr>
        <w:numId w:val="0"/>
      </w:numPr>
      <w:spacing w:after="0" w:line="256" w:lineRule="auto"/>
    </w:pPr>
    <w:rPr>
      <w:b w:val="0"/>
      <w:bCs w:val="0"/>
      <w:color w:val="2E74B5"/>
      <w:kern w:val="0"/>
    </w:rPr>
  </w:style>
  <w:style w:type="paragraph" w:styleId="TOC1">
    <w:name w:val="toc 1"/>
    <w:basedOn w:val="Normal"/>
    <w:next w:val="Normal"/>
  </w:style>
  <w:style w:type="paragraph" w:styleId="NormalWeb">
    <w:name w:val="Normal (Web)"/>
    <w:basedOn w:val="Normal"/>
    <w:uiPriority w:val="99"/>
    <w:qFormat/>
    <w:pPr>
      <w:spacing w:before="280" w:after="280" w:line="240" w:lineRule="auto"/>
    </w:pPr>
    <w:rPr>
      <w:rFonts w:ascii="Times New Roman" w:eastAsia="Times New Roman" w:hAnsi="Times New Roman"/>
      <w:sz w:val="24"/>
      <w:szCs w:val="24"/>
    </w:rPr>
  </w:style>
  <w:style w:type="character" w:styleId="FootnoteReference">
    <w:name w:val="footnote reference"/>
    <w:basedOn w:val="DefaultParagraphFont"/>
    <w:uiPriority w:val="99"/>
    <w:semiHidden/>
    <w:unhideWhenUsed/>
    <w:rsid w:val="00AC5540"/>
    <w:rPr>
      <w:vertAlign w:val="superscript"/>
    </w:rPr>
  </w:style>
  <w:style w:type="character" w:styleId="Hyperlink">
    <w:name w:val="Hyperlink"/>
    <w:basedOn w:val="DefaultParagraphFont"/>
    <w:uiPriority w:val="99"/>
    <w:unhideWhenUsed/>
    <w:rsid w:val="00414143"/>
    <w:rPr>
      <w:color w:val="0000FF"/>
      <w:u w:val="single"/>
    </w:rPr>
  </w:style>
  <w:style w:type="character" w:styleId="CommentReference">
    <w:name w:val="annotation reference"/>
    <w:basedOn w:val="DefaultParagraphFont"/>
    <w:uiPriority w:val="99"/>
    <w:semiHidden/>
    <w:unhideWhenUsed/>
    <w:rsid w:val="003212BB"/>
    <w:rPr>
      <w:sz w:val="16"/>
      <w:szCs w:val="16"/>
    </w:rPr>
  </w:style>
  <w:style w:type="paragraph" w:styleId="CommentText">
    <w:name w:val="annotation text"/>
    <w:basedOn w:val="Normal"/>
    <w:link w:val="CommentTextChar"/>
    <w:uiPriority w:val="99"/>
    <w:semiHidden/>
    <w:unhideWhenUsed/>
    <w:rsid w:val="003212BB"/>
    <w:pPr>
      <w:spacing w:line="240" w:lineRule="auto"/>
    </w:pPr>
    <w:rPr>
      <w:sz w:val="20"/>
      <w:szCs w:val="20"/>
    </w:rPr>
  </w:style>
  <w:style w:type="character" w:customStyle="1" w:styleId="CommentTextChar">
    <w:name w:val="Comment Text Char"/>
    <w:basedOn w:val="DefaultParagraphFont"/>
    <w:link w:val="CommentText"/>
    <w:uiPriority w:val="99"/>
    <w:semiHidden/>
    <w:rsid w:val="003212BB"/>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3212BB"/>
    <w:rPr>
      <w:b/>
      <w:bCs/>
    </w:rPr>
  </w:style>
  <w:style w:type="character" w:customStyle="1" w:styleId="CommentSubjectChar">
    <w:name w:val="Comment Subject Char"/>
    <w:basedOn w:val="CommentTextChar"/>
    <w:link w:val="CommentSubject"/>
    <w:uiPriority w:val="99"/>
    <w:semiHidden/>
    <w:rsid w:val="003212BB"/>
    <w:rPr>
      <w:rFonts w:ascii="Calibri" w:eastAsia="Calibri" w:hAnsi="Calibri" w:cs="Times New Roman"/>
      <w:b/>
      <w:bCs/>
      <w:sz w:val="20"/>
      <w:szCs w:val="20"/>
      <w:lang w:bidi="ar-SA"/>
    </w:rPr>
  </w:style>
  <w:style w:type="paragraph" w:styleId="BalloonText">
    <w:name w:val="Balloon Text"/>
    <w:basedOn w:val="Normal"/>
    <w:link w:val="BalloonTextChar"/>
    <w:uiPriority w:val="99"/>
    <w:semiHidden/>
    <w:unhideWhenUsed/>
    <w:rsid w:val="0032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BB"/>
    <w:rPr>
      <w:rFonts w:ascii="Segoe UI" w:eastAsia="Calibri" w:hAnsi="Segoe UI" w:cs="Segoe UI"/>
      <w:sz w:val="18"/>
      <w:szCs w:val="18"/>
      <w:lang w:bidi="ar-SA"/>
    </w:rPr>
  </w:style>
  <w:style w:type="character" w:customStyle="1" w:styleId="Heading2Char">
    <w:name w:val="Heading 2 Char"/>
    <w:basedOn w:val="DefaultParagraphFont"/>
    <w:link w:val="Heading2"/>
    <w:uiPriority w:val="9"/>
    <w:semiHidden/>
    <w:rsid w:val="00B10322"/>
    <w:rPr>
      <w:rFonts w:asciiTheme="majorHAnsi" w:eastAsiaTheme="majorEastAsia" w:hAnsiTheme="majorHAnsi" w:cstheme="majorBidi"/>
      <w:color w:val="2E74B5" w:themeColor="accent1" w:themeShade="BF"/>
      <w:sz w:val="26"/>
      <w:szCs w:val="26"/>
      <w:lang w:bidi="ar-SA"/>
    </w:rPr>
  </w:style>
  <w:style w:type="character" w:styleId="Strong">
    <w:name w:val="Strong"/>
    <w:basedOn w:val="DefaultParagraphFont"/>
    <w:uiPriority w:val="22"/>
    <w:qFormat/>
    <w:rsid w:val="00C06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01700">
      <w:bodyDiv w:val="1"/>
      <w:marLeft w:val="0"/>
      <w:marRight w:val="0"/>
      <w:marTop w:val="0"/>
      <w:marBottom w:val="0"/>
      <w:divBdr>
        <w:top w:val="none" w:sz="0" w:space="0" w:color="auto"/>
        <w:left w:val="none" w:sz="0" w:space="0" w:color="auto"/>
        <w:bottom w:val="none" w:sz="0" w:space="0" w:color="auto"/>
        <w:right w:val="none" w:sz="0" w:space="0" w:color="auto"/>
      </w:divBdr>
    </w:div>
    <w:div w:id="1272203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D9887-63E1-4337-93FB-FF5A9159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2021-06-12T01:48:00Z</dcterms:created>
  <dcterms:modified xsi:type="dcterms:W3CDTF">2021-06-12T01:48:00Z</dcterms:modified>
  <dc:language/>
</cp:coreProperties>
</file>